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244" w:rsidRPr="008E1B70" w:rsidRDefault="007D1244" w:rsidP="00750FC9">
      <w:pPr>
        <w:jc w:val="center"/>
        <w:rPr>
          <w:rFonts w:ascii="Garamond" w:hAnsi="Garamond"/>
          <w:b/>
          <w:bCs/>
          <w:sz w:val="28"/>
          <w:szCs w:val="28"/>
        </w:rPr>
      </w:pPr>
      <w:r w:rsidRPr="008E1B70">
        <w:rPr>
          <w:rFonts w:ascii="Garamond" w:hAnsi="Garamond"/>
          <w:b/>
          <w:bCs/>
          <w:sz w:val="28"/>
          <w:szCs w:val="28"/>
        </w:rPr>
        <w:t>AZIENDA USL TOSCANA NORD OVEST</w:t>
      </w:r>
    </w:p>
    <w:p w:rsidR="007D1244" w:rsidRPr="008E1B70" w:rsidRDefault="007D1244" w:rsidP="00750FC9">
      <w:pPr>
        <w:jc w:val="center"/>
        <w:rPr>
          <w:rFonts w:ascii="Garamond" w:hAnsi="Garamond"/>
          <w:b/>
          <w:bCs/>
          <w:sz w:val="28"/>
          <w:szCs w:val="28"/>
        </w:rPr>
      </w:pPr>
      <w:r w:rsidRPr="008E1B70">
        <w:rPr>
          <w:rFonts w:ascii="Garamond" w:hAnsi="Garamond"/>
          <w:b/>
          <w:bCs/>
          <w:sz w:val="28"/>
          <w:szCs w:val="28"/>
        </w:rPr>
        <w:t>CONTRATTO INTEGRATIVO AZIENDALE</w:t>
      </w:r>
    </w:p>
    <w:p w:rsidR="007D1244" w:rsidRPr="008E1B70" w:rsidRDefault="007D1244" w:rsidP="00750FC9">
      <w:pPr>
        <w:jc w:val="center"/>
        <w:rPr>
          <w:rFonts w:ascii="Garamond" w:hAnsi="Garamond"/>
          <w:b/>
          <w:bCs/>
          <w:sz w:val="28"/>
          <w:szCs w:val="28"/>
        </w:rPr>
      </w:pPr>
      <w:r w:rsidRPr="008E1B70">
        <w:rPr>
          <w:rFonts w:ascii="Garamond" w:hAnsi="Garamond"/>
          <w:b/>
          <w:bCs/>
          <w:sz w:val="28"/>
          <w:szCs w:val="28"/>
        </w:rPr>
        <w:t>DIRIGENZA PTA</w:t>
      </w:r>
    </w:p>
    <w:p w:rsidR="007D1244" w:rsidRPr="008E1B70" w:rsidRDefault="007D1244" w:rsidP="00CB0C3C">
      <w:pPr>
        <w:rPr>
          <w:rFonts w:ascii="Garamond" w:hAnsi="Garamond"/>
          <w:b/>
          <w:bCs/>
          <w:sz w:val="28"/>
          <w:szCs w:val="28"/>
        </w:rPr>
      </w:pPr>
      <w:r w:rsidRPr="00C41150">
        <w:rPr>
          <w:rFonts w:ascii="Garamond" w:hAnsi="Garamond"/>
          <w:b/>
          <w:bCs/>
          <w:sz w:val="28"/>
          <w:szCs w:val="28"/>
        </w:rPr>
        <w:t>ART. 1 CAMPO DI APPLICAZIONE</w:t>
      </w:r>
    </w:p>
    <w:p w:rsidR="007D1244" w:rsidRPr="008E1B70" w:rsidRDefault="007D1244" w:rsidP="001F714C">
      <w:pPr>
        <w:jc w:val="both"/>
        <w:rPr>
          <w:rFonts w:ascii="Garamond" w:hAnsi="Garamond"/>
          <w:sz w:val="28"/>
          <w:szCs w:val="28"/>
        </w:rPr>
      </w:pPr>
      <w:r w:rsidRPr="008E1B70">
        <w:rPr>
          <w:rFonts w:ascii="Garamond" w:hAnsi="Garamond"/>
          <w:sz w:val="28"/>
          <w:szCs w:val="28"/>
        </w:rPr>
        <w:t xml:space="preserve">Il presente accordo si applica a tutti i dirigenti dei ruoli amministrativo, tecnico e professionale con rapporto di lavoro a tempo indeterminato o determinato, dipendenti dell’Azienda. </w:t>
      </w:r>
    </w:p>
    <w:p w:rsidR="007D1244" w:rsidRPr="00C41150" w:rsidRDefault="007D1244" w:rsidP="00CB0C3C">
      <w:pPr>
        <w:rPr>
          <w:rFonts w:ascii="Garamond" w:hAnsi="Garamond"/>
          <w:b/>
          <w:bCs/>
          <w:sz w:val="28"/>
          <w:szCs w:val="28"/>
        </w:rPr>
      </w:pPr>
      <w:r w:rsidRPr="00C41150">
        <w:rPr>
          <w:rFonts w:ascii="Garamond" w:hAnsi="Garamond"/>
          <w:b/>
          <w:bCs/>
          <w:sz w:val="28"/>
          <w:szCs w:val="28"/>
        </w:rPr>
        <w:t>ART. 2 DURATA, DECORRENZA e PROCEDURE DI APPLICAZIONE</w:t>
      </w:r>
    </w:p>
    <w:p w:rsidR="007D1244" w:rsidRPr="008E1B70" w:rsidRDefault="007D1244" w:rsidP="008E1B70">
      <w:pPr>
        <w:numPr>
          <w:ilvl w:val="0"/>
          <w:numId w:val="1"/>
        </w:numPr>
        <w:jc w:val="both"/>
        <w:rPr>
          <w:rFonts w:ascii="Garamond" w:hAnsi="Garamond"/>
          <w:sz w:val="28"/>
          <w:szCs w:val="28"/>
        </w:rPr>
      </w:pPr>
      <w:r w:rsidRPr="00C41150">
        <w:rPr>
          <w:rFonts w:ascii="Garamond" w:hAnsi="Garamond"/>
          <w:sz w:val="28"/>
          <w:szCs w:val="28"/>
        </w:rPr>
        <w:t>Ai sensi dell’art. 8, comma 1, CCNL 2016 2018</w:t>
      </w:r>
      <w:r w:rsidRPr="008E1B70">
        <w:rPr>
          <w:rFonts w:ascii="Garamond" w:hAnsi="Garamond"/>
          <w:sz w:val="28"/>
          <w:szCs w:val="28"/>
        </w:rPr>
        <w:t>, il contratto collettivo integrativo ha durata triennale. La definizione dei criteri di riparto, tra le varie voci di utilizzo, delle risorse dei Fondo di cui agli artt. 90 e 91 CCNL è negoziata con cadenza annuale. Ai sensi dell’art. 8, comma 7, CCNL, il contratto collettivo integrativo conserva efficacia fino alla stipulazione dei successivi.</w:t>
      </w:r>
    </w:p>
    <w:p w:rsidR="007D1244" w:rsidRPr="008E1B70" w:rsidRDefault="007D1244" w:rsidP="008E1B70">
      <w:pPr>
        <w:numPr>
          <w:ilvl w:val="0"/>
          <w:numId w:val="1"/>
        </w:numPr>
        <w:jc w:val="both"/>
        <w:rPr>
          <w:rFonts w:ascii="Garamond" w:hAnsi="Garamond"/>
          <w:sz w:val="28"/>
          <w:szCs w:val="28"/>
        </w:rPr>
      </w:pPr>
      <w:r w:rsidRPr="008E1B70">
        <w:rPr>
          <w:rFonts w:ascii="Garamond" w:hAnsi="Garamond"/>
          <w:sz w:val="28"/>
          <w:szCs w:val="28"/>
        </w:rPr>
        <w:t>Il presente contratto integrativo si attua a partire dal giorno successivo alla sottoscrizione, che avverrà previo controllo sulla compatibilità dei costi effettuato dal Collegio Sindacale. Gli effetti giuridici decorrono dal giorno successivo alla data di stipulazione</w:t>
      </w:r>
      <w:r>
        <w:rPr>
          <w:rFonts w:ascii="Garamond" w:hAnsi="Garamond"/>
          <w:sz w:val="28"/>
          <w:szCs w:val="28"/>
        </w:rPr>
        <w:t>, salvo diversamente disposto</w:t>
      </w:r>
      <w:r w:rsidRPr="008E1B70">
        <w:rPr>
          <w:rFonts w:ascii="Garamond" w:hAnsi="Garamond"/>
          <w:sz w:val="28"/>
          <w:szCs w:val="28"/>
        </w:rPr>
        <w:t>.</w:t>
      </w:r>
    </w:p>
    <w:p w:rsidR="007D1244" w:rsidRPr="008E1B70" w:rsidRDefault="007D1244" w:rsidP="008E1B70">
      <w:pPr>
        <w:numPr>
          <w:ilvl w:val="0"/>
          <w:numId w:val="1"/>
        </w:numPr>
        <w:jc w:val="both"/>
        <w:rPr>
          <w:rFonts w:ascii="Garamond" w:hAnsi="Garamond"/>
          <w:sz w:val="28"/>
          <w:szCs w:val="28"/>
        </w:rPr>
      </w:pPr>
      <w:r w:rsidRPr="008E1B70">
        <w:rPr>
          <w:rFonts w:ascii="Garamond" w:hAnsi="Garamond"/>
          <w:sz w:val="28"/>
          <w:szCs w:val="28"/>
        </w:rPr>
        <w:t>In caso di controversie sull’interpretazione, le parti si incontrano tempestivamente per definire consensualmente l’interpretazione autentica della clausola controversa, secondo le modalità previste dall’art. 3, comma 6 del C.C.N.L. Per tutta la durata della controversia le parti si astengono dall’assumere iniziative al riguardo.</w:t>
      </w:r>
    </w:p>
    <w:p w:rsidR="007D1244" w:rsidRPr="008E1B70" w:rsidRDefault="007D1244" w:rsidP="00F437A3">
      <w:pPr>
        <w:jc w:val="both"/>
        <w:rPr>
          <w:rFonts w:ascii="Garamond" w:hAnsi="Garamond"/>
          <w:b/>
          <w:bCs/>
          <w:sz w:val="28"/>
          <w:szCs w:val="28"/>
        </w:rPr>
      </w:pPr>
      <w:r w:rsidRPr="00C41150">
        <w:rPr>
          <w:rFonts w:ascii="Garamond" w:hAnsi="Garamond"/>
          <w:b/>
          <w:bCs/>
          <w:sz w:val="28"/>
          <w:szCs w:val="28"/>
        </w:rPr>
        <w:t>ART. 3 DETERMINAZIONE DEI FONDI AZIENDALI</w:t>
      </w:r>
      <w:r w:rsidRPr="008E1B70">
        <w:rPr>
          <w:rFonts w:ascii="Garamond" w:hAnsi="Garamond"/>
          <w:b/>
          <w:bCs/>
          <w:sz w:val="28"/>
          <w:szCs w:val="28"/>
        </w:rPr>
        <w:t xml:space="preserve"> </w:t>
      </w:r>
    </w:p>
    <w:p w:rsidR="007D1244" w:rsidRPr="003A224A" w:rsidRDefault="007D1244" w:rsidP="008E1B70">
      <w:pPr>
        <w:numPr>
          <w:ilvl w:val="0"/>
          <w:numId w:val="2"/>
        </w:numPr>
        <w:jc w:val="both"/>
        <w:rPr>
          <w:rFonts w:ascii="Garamond" w:hAnsi="Garamond"/>
          <w:sz w:val="28"/>
          <w:szCs w:val="28"/>
        </w:rPr>
      </w:pPr>
      <w:r w:rsidRPr="003A224A">
        <w:rPr>
          <w:rFonts w:ascii="Garamond" w:hAnsi="Garamond"/>
          <w:sz w:val="28"/>
          <w:szCs w:val="28"/>
        </w:rPr>
        <w:t xml:space="preserve">Fondo per la retribuzione di posizione (art. 90) sostituisce quello di cui al CC.CC.NN.LL. precedente dell’Area SPTA del 17/10/2008, il cui ammontare è pari ad euro </w:t>
      </w:r>
      <w:smartTag w:uri="urn:schemas-microsoft-com:office:smarttags" w:element="metricconverter">
        <w:smartTagPr>
          <w:attr w:name="ProductID" w:val="1.664.394,23 a"/>
        </w:smartTagPr>
        <w:r w:rsidRPr="003A224A">
          <w:rPr>
            <w:rFonts w:ascii="Garamond" w:hAnsi="Garamond"/>
            <w:sz w:val="28"/>
            <w:szCs w:val="28"/>
          </w:rPr>
          <w:t>1.664.394,23 a</w:t>
        </w:r>
      </w:smartTag>
      <w:r w:rsidRPr="003A224A">
        <w:rPr>
          <w:rFonts w:ascii="Garamond" w:hAnsi="Garamond"/>
          <w:sz w:val="28"/>
          <w:szCs w:val="28"/>
        </w:rPr>
        <w:t xml:space="preserve"> valere per l’anno 2021</w:t>
      </w:r>
    </w:p>
    <w:p w:rsidR="007D1244" w:rsidRDefault="007D1244" w:rsidP="008E1B70">
      <w:pPr>
        <w:numPr>
          <w:ilvl w:val="0"/>
          <w:numId w:val="2"/>
        </w:numPr>
        <w:jc w:val="both"/>
        <w:rPr>
          <w:rFonts w:ascii="Garamond" w:hAnsi="Garamond"/>
          <w:sz w:val="28"/>
          <w:szCs w:val="28"/>
        </w:rPr>
      </w:pPr>
      <w:r w:rsidRPr="003A224A">
        <w:rPr>
          <w:rFonts w:ascii="Garamond" w:hAnsi="Garamond"/>
          <w:sz w:val="28"/>
          <w:szCs w:val="28"/>
        </w:rPr>
        <w:t xml:space="preserve">Fondo della retribuzione di risultato e altri trattamenti accessori (art. 91) sostituisce quello di cui al CC.CC.NN.LL. precedente dell’Area Medica e Veterinaria e della Dirigenza Sanitaria e Dirigenza delle Professioni sanitarie del 17/10/2008, il cui ammontare è pari ad euro </w:t>
      </w:r>
      <w:r w:rsidRPr="003A224A">
        <w:rPr>
          <w:rFonts w:ascii="Garamond" w:hAnsi="Garamond" w:cs="TimesNewRomanPSMT"/>
          <w:sz w:val="28"/>
          <w:szCs w:val="28"/>
        </w:rPr>
        <w:t>647.314,37</w:t>
      </w:r>
      <w:r w:rsidRPr="003A224A">
        <w:rPr>
          <w:rFonts w:ascii="Garamond" w:hAnsi="Garamond"/>
          <w:sz w:val="28"/>
          <w:szCs w:val="28"/>
        </w:rPr>
        <w:t>a valere per l’anno 2021</w:t>
      </w:r>
      <w:r>
        <w:rPr>
          <w:rFonts w:ascii="Garamond" w:hAnsi="Garamond"/>
          <w:sz w:val="28"/>
          <w:szCs w:val="28"/>
        </w:rPr>
        <w:t>.</w:t>
      </w:r>
    </w:p>
    <w:p w:rsidR="007D1244" w:rsidRPr="00C41150" w:rsidRDefault="007D1244" w:rsidP="008E1B70">
      <w:pPr>
        <w:numPr>
          <w:ilvl w:val="0"/>
          <w:numId w:val="2"/>
        </w:numPr>
        <w:jc w:val="both"/>
        <w:rPr>
          <w:rFonts w:ascii="Garamond" w:hAnsi="Garamond"/>
          <w:sz w:val="28"/>
          <w:szCs w:val="28"/>
        </w:rPr>
      </w:pPr>
      <w:r w:rsidRPr="00C41150">
        <w:rPr>
          <w:rFonts w:ascii="Garamond" w:hAnsi="Garamond"/>
          <w:sz w:val="28"/>
          <w:szCs w:val="28"/>
        </w:rPr>
        <w:t>I Fondi sono determinati ogni anno dall’Azienda con delibera.</w:t>
      </w:r>
    </w:p>
    <w:p w:rsidR="007D1244" w:rsidRPr="008E1B70" w:rsidRDefault="007D1244" w:rsidP="00C41150">
      <w:pPr>
        <w:jc w:val="both"/>
        <w:rPr>
          <w:rFonts w:ascii="Garamond" w:hAnsi="Garamond"/>
          <w:sz w:val="28"/>
          <w:szCs w:val="28"/>
        </w:rPr>
      </w:pPr>
      <w:r>
        <w:rPr>
          <w:rFonts w:ascii="Garamond" w:hAnsi="Garamond"/>
          <w:sz w:val="28"/>
          <w:szCs w:val="28"/>
        </w:rPr>
        <w:t xml:space="preserve">- </w:t>
      </w:r>
      <w:r w:rsidRPr="008E1B70">
        <w:rPr>
          <w:rFonts w:ascii="Garamond" w:hAnsi="Garamond"/>
          <w:sz w:val="28"/>
          <w:szCs w:val="28"/>
        </w:rPr>
        <w:t>Allegate schede fondi anno</w:t>
      </w:r>
      <w:r>
        <w:rPr>
          <w:rFonts w:ascii="Garamond" w:hAnsi="Garamond"/>
          <w:sz w:val="28"/>
          <w:szCs w:val="28"/>
        </w:rPr>
        <w:t xml:space="preserve"> </w:t>
      </w:r>
      <w:r w:rsidRPr="008E1B70">
        <w:rPr>
          <w:rFonts w:ascii="Garamond" w:hAnsi="Garamond"/>
          <w:sz w:val="28"/>
          <w:szCs w:val="28"/>
        </w:rPr>
        <w:t>2021</w:t>
      </w:r>
      <w:r>
        <w:rPr>
          <w:rFonts w:ascii="Garamond" w:hAnsi="Garamond"/>
          <w:sz w:val="28"/>
          <w:szCs w:val="28"/>
        </w:rPr>
        <w:t xml:space="preserve"> - 2022</w:t>
      </w:r>
    </w:p>
    <w:p w:rsidR="007D1244" w:rsidRPr="008E1B70" w:rsidRDefault="007D1244" w:rsidP="001D686D">
      <w:pPr>
        <w:pStyle w:val="ListParagraph"/>
        <w:ind w:left="0"/>
        <w:jc w:val="both"/>
        <w:rPr>
          <w:rFonts w:ascii="Garamond" w:hAnsi="Garamond"/>
          <w:sz w:val="28"/>
          <w:szCs w:val="28"/>
        </w:rPr>
      </w:pPr>
      <w:r w:rsidRPr="00C41150">
        <w:rPr>
          <w:rFonts w:ascii="Garamond" w:hAnsi="Garamond"/>
          <w:b/>
          <w:bCs/>
          <w:sz w:val="28"/>
          <w:szCs w:val="28"/>
        </w:rPr>
        <w:t>ART. 4 CRITERI PER LA DETERMINAZIONE E ATTRIBUZIONE DELLA RETRIBUZIONE DI RISULTATO e DIFFERENZIAZIONE DELLA RETRIBUZIONE DI RISULTATO</w:t>
      </w:r>
      <w:r w:rsidRPr="008E1B70">
        <w:rPr>
          <w:rFonts w:ascii="Garamond" w:hAnsi="Garamond"/>
          <w:sz w:val="28"/>
          <w:szCs w:val="28"/>
        </w:rPr>
        <w:t xml:space="preserve"> (art. 66 CCNL 2016/2018 comma 1 lett. b))</w:t>
      </w:r>
    </w:p>
    <w:p w:rsidR="007D1244" w:rsidRPr="008E1B70" w:rsidRDefault="007D1244" w:rsidP="008E1B70">
      <w:pPr>
        <w:numPr>
          <w:ilvl w:val="0"/>
          <w:numId w:val="3"/>
        </w:numPr>
        <w:shd w:val="clear" w:color="auto" w:fill="FFFFFF"/>
        <w:spacing w:before="100" w:beforeAutospacing="1" w:after="100" w:afterAutospacing="1" w:line="240" w:lineRule="auto"/>
        <w:jc w:val="both"/>
        <w:rPr>
          <w:rFonts w:ascii="Garamond" w:hAnsi="Garamond"/>
          <w:sz w:val="28"/>
          <w:szCs w:val="28"/>
          <w:lang w:eastAsia="it-IT"/>
        </w:rPr>
      </w:pPr>
      <w:r w:rsidRPr="008E1B70">
        <w:rPr>
          <w:rFonts w:ascii="Garamond" w:hAnsi="Garamond"/>
          <w:sz w:val="28"/>
          <w:szCs w:val="28"/>
          <w:shd w:val="clear" w:color="auto" w:fill="FFFFFF"/>
          <w:lang w:eastAsia="it-IT"/>
        </w:rPr>
        <w:t>La retribuzione di risultato è, in via principale, correlata all’incarico svolto e alla preventiva definizione, da parte delle Aziende ed Enti degli obiettivi e dei livelli di prestazione annuali da assegnare nell’ambito del ciclo della performance di cui all’art. 4 e all’ art. 15 e seguenti del D.Lgs. n.150/2009, nel rispetto dei principi contenuti nel medesimo decreto nonché delle disposizioni regionali in materia.</w:t>
      </w:r>
    </w:p>
    <w:p w:rsidR="007D1244" w:rsidRPr="008E1B70" w:rsidRDefault="007D1244" w:rsidP="008E1B70">
      <w:pPr>
        <w:numPr>
          <w:ilvl w:val="0"/>
          <w:numId w:val="3"/>
        </w:numPr>
        <w:spacing w:before="100" w:beforeAutospacing="1" w:after="100" w:afterAutospacing="1" w:line="240" w:lineRule="auto"/>
        <w:jc w:val="both"/>
        <w:rPr>
          <w:rFonts w:ascii="Garamond" w:hAnsi="Garamond"/>
          <w:sz w:val="28"/>
          <w:szCs w:val="28"/>
          <w:lang w:eastAsia="it-IT"/>
        </w:rPr>
      </w:pPr>
      <w:r w:rsidRPr="008E1B70">
        <w:rPr>
          <w:rFonts w:ascii="Garamond" w:hAnsi="Garamond"/>
          <w:sz w:val="28"/>
          <w:szCs w:val="28"/>
          <w:lang w:eastAsia="it-IT"/>
        </w:rPr>
        <w:t>In particolare il presente accordo integrativo recepisce le Linee Guida regionali di cui alla delibera R.T. 308/2013 relative all’implementazione del sistema di valutazione del personale.</w:t>
      </w:r>
    </w:p>
    <w:p w:rsidR="007D1244" w:rsidRPr="008E1B70" w:rsidRDefault="007D1244" w:rsidP="008E1B70">
      <w:pPr>
        <w:numPr>
          <w:ilvl w:val="0"/>
          <w:numId w:val="3"/>
        </w:numPr>
        <w:spacing w:before="100" w:beforeAutospacing="1" w:after="100" w:afterAutospacing="1" w:line="240" w:lineRule="auto"/>
        <w:jc w:val="both"/>
        <w:rPr>
          <w:rFonts w:ascii="Garamond" w:hAnsi="Garamond"/>
          <w:sz w:val="28"/>
          <w:szCs w:val="28"/>
          <w:lang w:eastAsia="it-IT"/>
        </w:rPr>
      </w:pPr>
      <w:r w:rsidRPr="008E1B70">
        <w:rPr>
          <w:rFonts w:ascii="Garamond" w:hAnsi="Garamond"/>
          <w:sz w:val="28"/>
          <w:szCs w:val="28"/>
          <w:lang w:eastAsia="it-IT"/>
        </w:rPr>
        <w:t xml:space="preserve">Presupposto indispensabile del sistema di valutazione aziendale consiste nella partecipazione degli obiettivi della struttura e degli obiettivi individuali a tutto il personale dirigente in ragione dell’incarico attribuito secondo i livelli di responsabilità individuati con la graduazione delle funzioni dirigenziali. </w:t>
      </w:r>
    </w:p>
    <w:p w:rsidR="007D1244" w:rsidRPr="008E1B70" w:rsidRDefault="007D1244" w:rsidP="008E1B70">
      <w:pPr>
        <w:numPr>
          <w:ilvl w:val="0"/>
          <w:numId w:val="3"/>
        </w:numPr>
        <w:shd w:val="clear" w:color="auto" w:fill="FFFFFF"/>
        <w:spacing w:before="100" w:beforeAutospacing="1" w:after="100" w:afterAutospacing="1" w:line="240" w:lineRule="auto"/>
        <w:jc w:val="both"/>
        <w:rPr>
          <w:rFonts w:ascii="Garamond" w:hAnsi="Garamond"/>
          <w:sz w:val="28"/>
          <w:szCs w:val="28"/>
          <w:lang w:eastAsia="it-IT"/>
        </w:rPr>
      </w:pPr>
      <w:r w:rsidRPr="008E1B70">
        <w:rPr>
          <w:rFonts w:ascii="Garamond" w:hAnsi="Garamond"/>
          <w:sz w:val="28"/>
          <w:szCs w:val="28"/>
          <w:shd w:val="clear" w:color="auto" w:fill="FFFFFF"/>
          <w:lang w:eastAsia="it-IT"/>
        </w:rPr>
        <w:t>Pertanto gli obiettivi e i livelli di prestazione, preventivamente illustrati dal dirigente responsabile dell’articolazione aziendale a tutti i dirigenti dell’unità operativa, sono assegnati formalmente come obiettivi individuali a ciascuno di essi, anche secondo la tipologia degli incarichi agli stessi conferiti.</w:t>
      </w:r>
    </w:p>
    <w:p w:rsidR="007D1244" w:rsidRPr="008E1B70" w:rsidRDefault="007D1244" w:rsidP="008E1B70">
      <w:pPr>
        <w:numPr>
          <w:ilvl w:val="0"/>
          <w:numId w:val="3"/>
        </w:numPr>
        <w:spacing w:before="100" w:beforeAutospacing="1" w:after="100" w:afterAutospacing="1" w:line="240" w:lineRule="auto"/>
        <w:jc w:val="both"/>
        <w:rPr>
          <w:rFonts w:ascii="Garamond" w:hAnsi="Garamond"/>
          <w:sz w:val="28"/>
          <w:szCs w:val="28"/>
          <w:lang w:eastAsia="it-IT"/>
        </w:rPr>
      </w:pPr>
      <w:r w:rsidRPr="008E1B70">
        <w:rPr>
          <w:rFonts w:ascii="Garamond" w:hAnsi="Garamond"/>
          <w:sz w:val="28"/>
          <w:szCs w:val="28"/>
          <w:lang w:eastAsia="it-IT"/>
        </w:rPr>
        <w:t>A tal fine, dovranno essere effettuate dal Direttore di ogni struttura con il personale di riferimento almeno una riunione preventiva ad inizio anno per la condivisione degli obiettivi, riunioni quadrimestrali sugli stati di avanzamento del raggiungimento degli obiettivi e una riunione a fine anno, a consuntivo, per illustrare e motivare la percentuale di raggiungimento degli obiettivi.</w:t>
      </w:r>
    </w:p>
    <w:p w:rsidR="007D1244" w:rsidRPr="008E1B70" w:rsidRDefault="007D1244" w:rsidP="008E1B70">
      <w:pPr>
        <w:numPr>
          <w:ilvl w:val="0"/>
          <w:numId w:val="3"/>
        </w:numPr>
        <w:spacing w:before="100" w:beforeAutospacing="1" w:after="100" w:afterAutospacing="1" w:line="240" w:lineRule="auto"/>
        <w:jc w:val="both"/>
        <w:rPr>
          <w:rFonts w:ascii="Garamond" w:hAnsi="Garamond"/>
          <w:sz w:val="28"/>
          <w:szCs w:val="28"/>
          <w:lang w:eastAsia="it-IT"/>
        </w:rPr>
      </w:pPr>
      <w:r w:rsidRPr="008E1B70">
        <w:rPr>
          <w:rFonts w:ascii="Garamond" w:hAnsi="Garamond"/>
          <w:sz w:val="28"/>
          <w:szCs w:val="28"/>
          <w:lang w:eastAsia="it-IT"/>
        </w:rPr>
        <w:t xml:space="preserve">L’attribuzione di obiettivi individuali, collegati funzionalmente agli obiettivi di struttura/ Dipartimento, deve realizzarsi entro il primo quadrimestre tramite la compilazione per ogni dirigente della struttura presente in servizio della scheda assegnazione obiettivi. </w:t>
      </w:r>
    </w:p>
    <w:p w:rsidR="007D1244" w:rsidRPr="008E1B70" w:rsidRDefault="007D1244" w:rsidP="008E1B70">
      <w:pPr>
        <w:numPr>
          <w:ilvl w:val="0"/>
          <w:numId w:val="3"/>
        </w:numPr>
        <w:spacing w:before="100" w:beforeAutospacing="1" w:after="100" w:afterAutospacing="1" w:line="240" w:lineRule="auto"/>
        <w:jc w:val="both"/>
        <w:rPr>
          <w:rFonts w:ascii="Garamond" w:hAnsi="Garamond"/>
          <w:sz w:val="28"/>
          <w:szCs w:val="28"/>
          <w:lang w:eastAsia="it-IT"/>
        </w:rPr>
      </w:pPr>
      <w:r w:rsidRPr="008E1B70">
        <w:rPr>
          <w:rFonts w:ascii="Garamond" w:hAnsi="Garamond"/>
          <w:sz w:val="28"/>
          <w:szCs w:val="28"/>
          <w:lang w:eastAsia="it-IT"/>
        </w:rPr>
        <w:t>Per i Direttori/ responsabili di budget, l’assegnazione degli obiettivi individuali coincide con l'assegnazione degli obiettivi di performances organizzativa della “scheda di budget” della struttura di cui sono titolari.</w:t>
      </w:r>
    </w:p>
    <w:p w:rsidR="007D1244" w:rsidRPr="008E1B70" w:rsidRDefault="007D1244" w:rsidP="008E1B70">
      <w:pPr>
        <w:numPr>
          <w:ilvl w:val="0"/>
          <w:numId w:val="3"/>
        </w:numPr>
        <w:shd w:val="clear" w:color="auto" w:fill="FFFFFF"/>
        <w:spacing w:before="100" w:beforeAutospacing="1" w:after="100" w:afterAutospacing="1" w:line="240" w:lineRule="auto"/>
        <w:jc w:val="both"/>
        <w:rPr>
          <w:rFonts w:ascii="Garamond" w:hAnsi="Garamond"/>
          <w:sz w:val="28"/>
          <w:szCs w:val="28"/>
          <w:lang w:eastAsia="it-IT"/>
        </w:rPr>
      </w:pPr>
      <w:r w:rsidRPr="008E1B70">
        <w:rPr>
          <w:rFonts w:ascii="Garamond" w:hAnsi="Garamond"/>
          <w:sz w:val="28"/>
          <w:szCs w:val="28"/>
          <w:shd w:val="clear" w:color="auto" w:fill="FFFFFF"/>
          <w:lang w:eastAsia="it-IT"/>
        </w:rPr>
        <w:t xml:space="preserve">La retribuzione di risultato è attribuita a consuntivo, sulla base delle risorse complessivamente accertate a disposizione per il finanziamento dell’ istituto nell’anno in questione, in modo differenziato sulla base dei livelli di raggiungimento dei risultati prestazionali e di gestione conseguiti in coerenza dei suddetti obiettivi, secondo le risultanze positive dei sistemi di valutazione adottati in conformità a quanto previsto dal CCNL </w:t>
      </w:r>
    </w:p>
    <w:p w:rsidR="007D1244" w:rsidRPr="008E1B70" w:rsidRDefault="007D1244" w:rsidP="008E1B70">
      <w:pPr>
        <w:numPr>
          <w:ilvl w:val="0"/>
          <w:numId w:val="3"/>
        </w:numPr>
        <w:spacing w:before="100" w:beforeAutospacing="1" w:after="100" w:afterAutospacing="1" w:line="240" w:lineRule="auto"/>
        <w:jc w:val="both"/>
        <w:rPr>
          <w:rFonts w:ascii="Garamond" w:hAnsi="Garamond"/>
          <w:sz w:val="28"/>
          <w:szCs w:val="28"/>
          <w:lang w:eastAsia="it-IT"/>
        </w:rPr>
      </w:pPr>
      <w:r w:rsidRPr="008E1B70">
        <w:rPr>
          <w:rFonts w:ascii="Garamond" w:hAnsi="Garamond"/>
          <w:sz w:val="28"/>
          <w:szCs w:val="28"/>
          <w:lang w:eastAsia="it-IT"/>
        </w:rPr>
        <w:t>Pertanto la corresponsione della retribuzione di risultato è strettamente correlata alla verifica della realizzazione degli obiettivi annuali di performance organizzativa ed alla valutazione delle prestazioni del singolo dirigente ed ai relativi sistemi aziendali di controllo e valutazione già oggetto di regolamentazione condivisa.</w:t>
      </w:r>
    </w:p>
    <w:p w:rsidR="007D1244" w:rsidRPr="008E1B70" w:rsidRDefault="007D1244" w:rsidP="008E1B70">
      <w:pPr>
        <w:numPr>
          <w:ilvl w:val="0"/>
          <w:numId w:val="3"/>
        </w:numPr>
        <w:shd w:val="clear" w:color="auto" w:fill="FFFFFF"/>
        <w:spacing w:before="100" w:beforeAutospacing="1" w:after="100" w:afterAutospacing="1" w:line="240" w:lineRule="auto"/>
        <w:jc w:val="both"/>
        <w:rPr>
          <w:rFonts w:ascii="Garamond" w:hAnsi="Garamond"/>
          <w:sz w:val="28"/>
          <w:szCs w:val="28"/>
          <w:lang w:eastAsia="it-IT"/>
        </w:rPr>
      </w:pPr>
      <w:r w:rsidRPr="008E1B70">
        <w:rPr>
          <w:rFonts w:ascii="Garamond" w:hAnsi="Garamond"/>
          <w:sz w:val="28"/>
          <w:szCs w:val="28"/>
          <w:lang w:eastAsia="it-IT"/>
        </w:rPr>
        <w:t xml:space="preserve">La retribuzione di risultato annuale è assegnata provvisoriamente all’inizio dell’anno alle singole Strutture in via presuntiva di stima, come importo individuale da riconoscere al personale assegnato alla struttura. </w:t>
      </w:r>
    </w:p>
    <w:p w:rsidR="007D1244" w:rsidRPr="008E1B70" w:rsidRDefault="007D1244" w:rsidP="008E1B70">
      <w:pPr>
        <w:numPr>
          <w:ilvl w:val="0"/>
          <w:numId w:val="3"/>
        </w:numPr>
        <w:shd w:val="clear" w:color="auto" w:fill="FFFFFF"/>
        <w:spacing w:before="100" w:beforeAutospacing="1" w:after="100" w:afterAutospacing="1" w:line="240" w:lineRule="auto"/>
        <w:jc w:val="both"/>
        <w:rPr>
          <w:rFonts w:ascii="Garamond" w:hAnsi="Garamond"/>
          <w:sz w:val="28"/>
          <w:szCs w:val="28"/>
          <w:shd w:val="clear" w:color="auto" w:fill="FFFFFF"/>
          <w:lang w:eastAsia="it-IT"/>
        </w:rPr>
      </w:pPr>
      <w:r w:rsidRPr="003A224A">
        <w:rPr>
          <w:rFonts w:ascii="Garamond" w:hAnsi="Garamond"/>
          <w:sz w:val="28"/>
          <w:szCs w:val="28"/>
          <w:shd w:val="clear" w:color="auto" w:fill="FFFFFF"/>
          <w:lang w:eastAsia="it-IT"/>
        </w:rPr>
        <w:t>Nel rispetto del limite fissato del 70% (art 91 c. 11 CCNL), la quota delle risorse del “fondo retribuzione di risultato ed altri trattamenti accessori” destinate</w:t>
      </w:r>
      <w:r w:rsidRPr="008E1B70">
        <w:rPr>
          <w:rFonts w:ascii="Garamond" w:hAnsi="Garamond"/>
          <w:sz w:val="28"/>
          <w:szCs w:val="28"/>
          <w:shd w:val="clear" w:color="auto" w:fill="FFFFFF"/>
          <w:lang w:eastAsia="it-IT"/>
        </w:rPr>
        <w:t xml:space="preserve"> a remunerare la performance organizzativa e quella individuale è data dalla intera risorsa disponibile a consuntivo per l’istituto (fondo annuale + residui altri fondi) al netto delle quote riservate di cui ai punti </w:t>
      </w:r>
      <w:r w:rsidRPr="00C41150">
        <w:rPr>
          <w:rFonts w:ascii="Garamond" w:hAnsi="Garamond"/>
          <w:sz w:val="28"/>
          <w:szCs w:val="28"/>
          <w:shd w:val="clear" w:color="auto" w:fill="FFFFFF"/>
          <w:lang w:eastAsia="it-IT"/>
        </w:rPr>
        <w:t>successivi  ( vedi artt. 7, 8 e 9).</w:t>
      </w:r>
    </w:p>
    <w:p w:rsidR="007D1244" w:rsidRPr="008E1B70" w:rsidRDefault="007D1244" w:rsidP="003A224A">
      <w:pPr>
        <w:numPr>
          <w:ilvl w:val="0"/>
          <w:numId w:val="3"/>
        </w:numPr>
        <w:spacing w:before="100" w:beforeAutospacing="1" w:after="100" w:afterAutospacing="1" w:line="240" w:lineRule="auto"/>
        <w:jc w:val="both"/>
        <w:rPr>
          <w:rFonts w:ascii="Garamond" w:hAnsi="Garamond"/>
          <w:sz w:val="28"/>
          <w:szCs w:val="28"/>
          <w:lang w:eastAsia="it-IT"/>
        </w:rPr>
      </w:pPr>
      <w:r w:rsidRPr="008E1B70">
        <w:rPr>
          <w:rFonts w:ascii="Garamond" w:hAnsi="Garamond"/>
          <w:sz w:val="28"/>
          <w:szCs w:val="28"/>
          <w:lang w:eastAsia="it-IT"/>
        </w:rPr>
        <w:t>La quota delle risorse del “fondo per la retribuzione di risultato” destinate a remunerare la performance organizzativa e quella individuale (fondo annuale + residui altri fondi) al netto delle quote riservate di cui ai precedenti punti in applicazione delle indicazioni regionali è destinato per il 60% per premiare i risultati derivanti dalla valutazione e misurazione della performance collettiva, e per il 40% per valorizzare la performance individuale. Restando comunque fermo l’obbligo dell’integrale destinazione delle risorse nell’anno contabile di competenza, le quote non distribuite causa assenze e/o risultati parziali valutazioni individuali e di budget sono destinate ad incremento proporzionale delle quote di risultato attribuite nell' anno di riferimento.</w:t>
      </w:r>
    </w:p>
    <w:p w:rsidR="007D1244" w:rsidRPr="008E1B70" w:rsidRDefault="007D1244" w:rsidP="003A224A">
      <w:pPr>
        <w:numPr>
          <w:ilvl w:val="0"/>
          <w:numId w:val="3"/>
        </w:numPr>
        <w:spacing w:before="100" w:beforeAutospacing="1" w:after="100" w:afterAutospacing="1" w:line="240" w:lineRule="auto"/>
        <w:jc w:val="both"/>
        <w:rPr>
          <w:rFonts w:ascii="Garamond" w:hAnsi="Garamond"/>
          <w:sz w:val="28"/>
          <w:szCs w:val="28"/>
          <w:lang w:eastAsia="it-IT"/>
        </w:rPr>
      </w:pPr>
      <w:r w:rsidRPr="008E1B70">
        <w:rPr>
          <w:rFonts w:ascii="Garamond" w:hAnsi="Garamond"/>
          <w:sz w:val="28"/>
          <w:szCs w:val="28"/>
          <w:lang w:eastAsia="it-IT"/>
        </w:rPr>
        <w:t xml:space="preserve">Nel rispetto della pregressa normativa CCNL che prevede che possono essere riconosciuti acconti in corso d’anno per stati di avanzamento, limitatamente al 50% del Fondo complessivamente inteso, nel corso dell’ anno sono erogate in via di anticipazione in acconto, importi standard a corrispondere nel mese di giugno e nel mese di </w:t>
      </w:r>
      <w:r w:rsidRPr="003A224A">
        <w:rPr>
          <w:rFonts w:ascii="Garamond" w:hAnsi="Garamond"/>
          <w:sz w:val="28"/>
          <w:szCs w:val="28"/>
          <w:lang w:eastAsia="it-IT"/>
        </w:rPr>
        <w:t>novembre, in corrispondenza</w:t>
      </w:r>
      <w:r w:rsidRPr="008E1B70">
        <w:rPr>
          <w:rFonts w:ascii="Garamond" w:hAnsi="Garamond"/>
          <w:sz w:val="28"/>
          <w:szCs w:val="28"/>
          <w:lang w:eastAsia="it-IT"/>
        </w:rPr>
        <w:t xml:space="preserve"> ed in correlazione alle verifiche provvisorie sullo stato di avanzamento del raggiungimento obiettivi, così come individuati e comunicati dal controllo di gestione.</w:t>
      </w:r>
    </w:p>
    <w:p w:rsidR="007D1244" w:rsidRDefault="007D1244" w:rsidP="003A224A">
      <w:pPr>
        <w:numPr>
          <w:ilvl w:val="0"/>
          <w:numId w:val="3"/>
        </w:numPr>
        <w:spacing w:before="100" w:beforeAutospacing="1" w:after="100" w:afterAutospacing="1" w:line="240" w:lineRule="auto"/>
        <w:jc w:val="both"/>
        <w:rPr>
          <w:rFonts w:ascii="Garamond" w:hAnsi="Garamond"/>
          <w:sz w:val="28"/>
          <w:szCs w:val="28"/>
          <w:lang w:eastAsia="it-IT"/>
        </w:rPr>
      </w:pPr>
      <w:r w:rsidRPr="008E1B70">
        <w:rPr>
          <w:rFonts w:ascii="Garamond" w:hAnsi="Garamond"/>
          <w:sz w:val="28"/>
          <w:szCs w:val="28"/>
          <w:lang w:eastAsia="it-IT"/>
        </w:rPr>
        <w:t>Le quote in acconto, in via cautelare, non sono erogate al personale con cessazione programmata (a TD / mobilità / pen</w:t>
      </w:r>
      <w:r>
        <w:rPr>
          <w:rFonts w:ascii="Garamond" w:hAnsi="Garamond"/>
          <w:sz w:val="28"/>
          <w:szCs w:val="28"/>
          <w:lang w:eastAsia="it-IT"/>
        </w:rPr>
        <w:t xml:space="preserve">sionamento) nell’ anno in corso. </w:t>
      </w:r>
      <w:r w:rsidRPr="008E1B70">
        <w:rPr>
          <w:rFonts w:ascii="Garamond" w:hAnsi="Garamond"/>
          <w:sz w:val="28"/>
          <w:szCs w:val="28"/>
          <w:lang w:eastAsia="it-IT"/>
        </w:rPr>
        <w:t>La misura piena della quota individuale in acconto è erogabil</w:t>
      </w:r>
      <w:r>
        <w:rPr>
          <w:rFonts w:ascii="Garamond" w:hAnsi="Garamond"/>
          <w:sz w:val="28"/>
          <w:szCs w:val="28"/>
          <w:lang w:eastAsia="it-IT"/>
        </w:rPr>
        <w:t>e</w:t>
      </w:r>
      <w:r w:rsidRPr="008E1B70">
        <w:rPr>
          <w:rFonts w:ascii="Garamond" w:hAnsi="Garamond"/>
          <w:sz w:val="28"/>
          <w:szCs w:val="28"/>
          <w:lang w:eastAsia="it-IT"/>
        </w:rPr>
        <w:t xml:space="preserve"> in presenza di risultati % =/&gt; 50%; diversamente sono percentualmente ridotte in proporzione al risultato accertato</w:t>
      </w:r>
      <w:r>
        <w:rPr>
          <w:rFonts w:ascii="Garamond" w:hAnsi="Garamond"/>
          <w:sz w:val="28"/>
          <w:szCs w:val="28"/>
          <w:lang w:eastAsia="it-IT"/>
        </w:rPr>
        <w:t xml:space="preserve">. </w:t>
      </w:r>
      <w:r w:rsidRPr="008E1B70">
        <w:rPr>
          <w:rFonts w:ascii="Garamond" w:hAnsi="Garamond"/>
          <w:sz w:val="28"/>
          <w:szCs w:val="28"/>
          <w:lang w:eastAsia="it-IT"/>
        </w:rPr>
        <w:t xml:space="preserve">Il calcolo della retribuzione di risultato complessiva individuale annuale spettante, viene effettuato a consuntivo dell’ anno di riferimento, con le modalità di cui ai successivi </w:t>
      </w:r>
      <w:r>
        <w:rPr>
          <w:rFonts w:ascii="Garamond" w:hAnsi="Garamond"/>
          <w:sz w:val="28"/>
          <w:szCs w:val="28"/>
          <w:lang w:eastAsia="it-IT"/>
        </w:rPr>
        <w:t>commi</w:t>
      </w:r>
      <w:r w:rsidRPr="008E1B70">
        <w:rPr>
          <w:rFonts w:ascii="Garamond" w:hAnsi="Garamond"/>
          <w:sz w:val="28"/>
          <w:szCs w:val="28"/>
          <w:lang w:eastAsia="it-IT"/>
        </w:rPr>
        <w:t xml:space="preserve">, utilizzando la complessiva disponibilità del fondo assegnata alle </w:t>
      </w:r>
      <w:r w:rsidRPr="003A224A">
        <w:rPr>
          <w:rFonts w:ascii="Garamond" w:hAnsi="Garamond"/>
          <w:i/>
          <w:iCs/>
          <w:sz w:val="28"/>
          <w:szCs w:val="28"/>
          <w:lang w:eastAsia="it-IT"/>
        </w:rPr>
        <w:t>performances</w:t>
      </w:r>
      <w:r w:rsidRPr="008E1B70">
        <w:rPr>
          <w:rFonts w:ascii="Garamond" w:hAnsi="Garamond"/>
          <w:sz w:val="28"/>
          <w:szCs w:val="28"/>
          <w:lang w:eastAsia="it-IT"/>
        </w:rPr>
        <w:t xml:space="preserve"> organizzative ed individuali, inclusi i residui di gestione altri fondi e le eventuali risorse inutilizzate dei sub fondi di cui ai precedenti in rapporto al personale in servizio nell’anno di riferimento.</w:t>
      </w:r>
    </w:p>
    <w:p w:rsidR="007D1244" w:rsidRDefault="007D1244" w:rsidP="003A224A">
      <w:pPr>
        <w:numPr>
          <w:ilvl w:val="0"/>
          <w:numId w:val="3"/>
        </w:numPr>
        <w:spacing w:before="100" w:beforeAutospacing="1" w:after="100" w:afterAutospacing="1" w:line="240" w:lineRule="auto"/>
        <w:jc w:val="both"/>
        <w:rPr>
          <w:rFonts w:ascii="Garamond" w:hAnsi="Garamond"/>
          <w:sz w:val="28"/>
          <w:szCs w:val="28"/>
          <w:lang w:eastAsia="it-IT"/>
        </w:rPr>
      </w:pPr>
      <w:r>
        <w:rPr>
          <w:rFonts w:ascii="Garamond" w:hAnsi="Garamond"/>
          <w:sz w:val="28"/>
          <w:szCs w:val="28"/>
          <w:lang w:eastAsia="it-IT"/>
        </w:rPr>
        <w:t xml:space="preserve"> </w:t>
      </w:r>
      <w:r w:rsidRPr="008E1B70">
        <w:rPr>
          <w:rFonts w:ascii="Garamond" w:hAnsi="Garamond"/>
          <w:sz w:val="28"/>
          <w:szCs w:val="28"/>
          <w:lang w:eastAsia="it-IT"/>
        </w:rPr>
        <w:t xml:space="preserve">Le quote di retribuzione di risultato complessiva individuale annuale spettanti ai responsabili di struttura e responsabile di budget sono maggiorate come segue: 1.2 responsabili di strutture semplici e complesse titolari di </w:t>
      </w:r>
      <w:r>
        <w:rPr>
          <w:rFonts w:ascii="Garamond" w:hAnsi="Garamond"/>
          <w:sz w:val="28"/>
          <w:szCs w:val="28"/>
          <w:lang w:eastAsia="it-IT"/>
        </w:rPr>
        <w:t xml:space="preserve"> scheda </w:t>
      </w:r>
      <w:r w:rsidRPr="008E1B70">
        <w:rPr>
          <w:rFonts w:ascii="Garamond" w:hAnsi="Garamond"/>
          <w:sz w:val="28"/>
          <w:szCs w:val="28"/>
          <w:lang w:eastAsia="it-IT"/>
        </w:rPr>
        <w:t xml:space="preserve">budget, 1.1 responsabili di strutture semplici </w:t>
      </w:r>
      <w:r w:rsidRPr="003B220E">
        <w:rPr>
          <w:rFonts w:ascii="Garamond" w:hAnsi="Garamond"/>
          <w:sz w:val="28"/>
          <w:szCs w:val="28"/>
          <w:lang w:eastAsia="it-IT"/>
        </w:rPr>
        <w:t xml:space="preserve">e complesse </w:t>
      </w:r>
      <w:r w:rsidRPr="008E1B70">
        <w:rPr>
          <w:rFonts w:ascii="Garamond" w:hAnsi="Garamond"/>
          <w:sz w:val="28"/>
          <w:szCs w:val="28"/>
          <w:lang w:eastAsia="it-IT"/>
        </w:rPr>
        <w:t>non titolari di</w:t>
      </w:r>
      <w:r>
        <w:rPr>
          <w:rFonts w:ascii="Garamond" w:hAnsi="Garamond"/>
          <w:sz w:val="28"/>
          <w:szCs w:val="28"/>
          <w:lang w:eastAsia="it-IT"/>
        </w:rPr>
        <w:t xml:space="preserve"> scheda di</w:t>
      </w:r>
      <w:r w:rsidRPr="008E1B70">
        <w:rPr>
          <w:rFonts w:ascii="Garamond" w:hAnsi="Garamond"/>
          <w:sz w:val="28"/>
          <w:szCs w:val="28"/>
          <w:lang w:eastAsia="it-IT"/>
        </w:rPr>
        <w:t xml:space="preserve"> budget.</w:t>
      </w:r>
    </w:p>
    <w:p w:rsidR="007D1244" w:rsidRPr="003A224A" w:rsidRDefault="007D1244" w:rsidP="003A224A">
      <w:pPr>
        <w:spacing w:before="100" w:beforeAutospacing="1" w:after="100" w:afterAutospacing="1" w:line="240" w:lineRule="auto"/>
        <w:ind w:left="360"/>
        <w:jc w:val="both"/>
        <w:rPr>
          <w:rFonts w:ascii="Garamond" w:hAnsi="Garamond"/>
          <w:b/>
          <w:bCs/>
          <w:i/>
          <w:iCs/>
          <w:sz w:val="28"/>
          <w:szCs w:val="28"/>
          <w:lang w:eastAsia="it-IT"/>
        </w:rPr>
      </w:pPr>
      <w:r>
        <w:rPr>
          <w:rFonts w:ascii="Garamond" w:hAnsi="Garamond"/>
          <w:sz w:val="28"/>
          <w:szCs w:val="28"/>
          <w:lang w:eastAsia="it-IT"/>
        </w:rPr>
        <w:t xml:space="preserve">A) </w:t>
      </w:r>
      <w:r w:rsidRPr="003A224A">
        <w:rPr>
          <w:rFonts w:ascii="Garamond" w:hAnsi="Garamond"/>
          <w:b/>
          <w:bCs/>
          <w:i/>
          <w:iCs/>
          <w:sz w:val="28"/>
          <w:szCs w:val="28"/>
          <w:lang w:eastAsia="it-IT"/>
        </w:rPr>
        <w:t>Performance collettiva</w:t>
      </w:r>
    </w:p>
    <w:p w:rsidR="007D1244" w:rsidRPr="008E1B70" w:rsidRDefault="007D1244" w:rsidP="003A224A">
      <w:pPr>
        <w:spacing w:before="100" w:beforeAutospacing="1" w:after="100" w:afterAutospacing="1" w:line="240" w:lineRule="auto"/>
        <w:ind w:left="360"/>
        <w:jc w:val="both"/>
        <w:rPr>
          <w:rFonts w:ascii="Garamond" w:hAnsi="Garamond"/>
          <w:sz w:val="28"/>
          <w:szCs w:val="28"/>
          <w:lang w:eastAsia="it-IT"/>
        </w:rPr>
      </w:pPr>
      <w:r w:rsidRPr="008E1B70">
        <w:rPr>
          <w:rFonts w:ascii="Garamond" w:hAnsi="Garamond"/>
          <w:sz w:val="28"/>
          <w:szCs w:val="28"/>
          <w:lang w:eastAsia="it-IT"/>
        </w:rPr>
        <w:t xml:space="preserve">Il 60% della retribuzione di risultato complessiva individuale annuale spettante è attribuito sulla base della percentuale di raggiungimento degli obiettivi di performance organizzativa, in esito alla verifica complessiva e definitiva certificata dall’Organismo indipendente di valutazione ed applicando la percentuale corrispondente al raggiungimento dei relativi obiettivi. In presenza di percentuali inferiori al 30% la quota corrispondente alla performance collettiva (60%) non verrà liquidata. In presenza di percentuali superiori al 90% sarà riconosciuto il 100% della quota. </w:t>
      </w:r>
    </w:p>
    <w:p w:rsidR="007D1244" w:rsidRPr="003A224A" w:rsidRDefault="007D1244" w:rsidP="008E1B70">
      <w:pPr>
        <w:spacing w:before="100" w:beforeAutospacing="1" w:after="100" w:afterAutospacing="1" w:line="240" w:lineRule="auto"/>
        <w:jc w:val="both"/>
        <w:rPr>
          <w:rFonts w:ascii="Garamond" w:hAnsi="Garamond"/>
          <w:b/>
          <w:bCs/>
          <w:i/>
          <w:iCs/>
          <w:sz w:val="28"/>
          <w:szCs w:val="28"/>
          <w:lang w:eastAsia="it-IT"/>
        </w:rPr>
      </w:pPr>
      <w:r>
        <w:rPr>
          <w:rFonts w:ascii="Garamond" w:hAnsi="Garamond"/>
          <w:sz w:val="28"/>
          <w:szCs w:val="28"/>
          <w:lang w:eastAsia="it-IT"/>
        </w:rPr>
        <w:t xml:space="preserve">B) </w:t>
      </w:r>
      <w:r w:rsidRPr="003A224A">
        <w:rPr>
          <w:rFonts w:ascii="Garamond" w:hAnsi="Garamond"/>
          <w:b/>
          <w:bCs/>
          <w:i/>
          <w:iCs/>
          <w:sz w:val="28"/>
          <w:szCs w:val="28"/>
          <w:lang w:eastAsia="it-IT"/>
        </w:rPr>
        <w:t>Performance individuale</w:t>
      </w:r>
    </w:p>
    <w:p w:rsidR="007D1244" w:rsidRPr="008E1B70" w:rsidRDefault="007D1244" w:rsidP="008E1B70">
      <w:pPr>
        <w:spacing w:before="100" w:beforeAutospacing="1" w:after="100" w:afterAutospacing="1" w:line="240" w:lineRule="auto"/>
        <w:ind w:left="360"/>
        <w:jc w:val="both"/>
        <w:rPr>
          <w:rFonts w:ascii="Garamond" w:hAnsi="Garamond"/>
          <w:sz w:val="28"/>
          <w:szCs w:val="28"/>
          <w:lang w:eastAsia="it-IT"/>
        </w:rPr>
      </w:pPr>
      <w:r>
        <w:rPr>
          <w:rFonts w:ascii="Garamond" w:hAnsi="Garamond"/>
          <w:sz w:val="28"/>
          <w:szCs w:val="28"/>
          <w:lang w:eastAsia="it-IT"/>
        </w:rPr>
        <w:t xml:space="preserve">B1) </w:t>
      </w:r>
      <w:r w:rsidRPr="008E1B70">
        <w:rPr>
          <w:rFonts w:ascii="Garamond" w:hAnsi="Garamond"/>
          <w:sz w:val="28"/>
          <w:szCs w:val="28"/>
          <w:lang w:eastAsia="it-IT"/>
        </w:rPr>
        <w:t xml:space="preserve">Il 40% della retribuzione di risultato complessiva individuale annuale spettante è attribuito sulla base della valutazione sulla performance individuale sulla base delle risultanze della scheda di valutazione individuale trasmessa dal responsabile di struttura secondo procedura certificata dall’Organismo indipendente di valutazione. </w:t>
      </w:r>
    </w:p>
    <w:p w:rsidR="007D1244" w:rsidRPr="008E1B70" w:rsidRDefault="007D1244" w:rsidP="008E1B70">
      <w:pPr>
        <w:spacing w:before="100" w:beforeAutospacing="1" w:after="100" w:afterAutospacing="1" w:line="240" w:lineRule="auto"/>
        <w:ind w:left="360"/>
        <w:jc w:val="both"/>
        <w:rPr>
          <w:rFonts w:ascii="Garamond" w:hAnsi="Garamond"/>
          <w:sz w:val="28"/>
          <w:szCs w:val="28"/>
          <w:lang w:eastAsia="it-IT"/>
        </w:rPr>
      </w:pPr>
      <w:r>
        <w:rPr>
          <w:rFonts w:ascii="Garamond" w:hAnsi="Garamond"/>
          <w:sz w:val="28"/>
          <w:szCs w:val="28"/>
          <w:lang w:eastAsia="it-IT"/>
        </w:rPr>
        <w:t xml:space="preserve">B2) </w:t>
      </w:r>
      <w:r w:rsidRPr="008E1B70">
        <w:rPr>
          <w:rFonts w:ascii="Garamond" w:hAnsi="Garamond"/>
          <w:sz w:val="28"/>
          <w:szCs w:val="28"/>
          <w:lang w:eastAsia="it-IT"/>
        </w:rPr>
        <w:t xml:space="preserve">La valutazione individuale viene effettuata ogni anno dal responsabile gerarchico superiore attraverso la compilazione delle relative schede. La valutazione individuale si compone di due dimensioni: misurazione degli obiettivi individuali e valutazione delle competenze e dei comportamenti organizzativi. </w:t>
      </w:r>
    </w:p>
    <w:p w:rsidR="007D1244" w:rsidRPr="008E1B70" w:rsidRDefault="007D1244" w:rsidP="008E1B70">
      <w:pPr>
        <w:spacing w:before="100" w:beforeAutospacing="1" w:after="100" w:afterAutospacing="1" w:line="240" w:lineRule="auto"/>
        <w:ind w:left="360"/>
        <w:jc w:val="both"/>
        <w:rPr>
          <w:rFonts w:ascii="Garamond" w:hAnsi="Garamond"/>
          <w:sz w:val="28"/>
          <w:szCs w:val="28"/>
          <w:lang w:eastAsia="it-IT"/>
        </w:rPr>
      </w:pPr>
      <w:r>
        <w:rPr>
          <w:rFonts w:ascii="Garamond" w:hAnsi="Garamond"/>
          <w:sz w:val="28"/>
          <w:szCs w:val="28"/>
          <w:lang w:eastAsia="it-IT"/>
        </w:rPr>
        <w:t xml:space="preserve">B3) </w:t>
      </w:r>
      <w:r w:rsidRPr="008E1B70">
        <w:rPr>
          <w:rFonts w:ascii="Garamond" w:hAnsi="Garamond"/>
          <w:sz w:val="28"/>
          <w:szCs w:val="28"/>
          <w:lang w:eastAsia="it-IT"/>
        </w:rPr>
        <w:t>La quota relativa alla performance individuale è riconosciuta sulla base delle seguenti percentuali:</w:t>
      </w:r>
    </w:p>
    <w:tbl>
      <w:tblPr>
        <w:tblW w:w="9360" w:type="dxa"/>
        <w:tblCellSpacing w:w="0" w:type="dxa"/>
        <w:tblInd w:w="720" w:type="dxa"/>
        <w:tblCellMar>
          <w:top w:w="105" w:type="dxa"/>
          <w:left w:w="105" w:type="dxa"/>
          <w:bottom w:w="105" w:type="dxa"/>
          <w:right w:w="105" w:type="dxa"/>
        </w:tblCellMar>
        <w:tblLook w:val="0000"/>
      </w:tblPr>
      <w:tblGrid>
        <w:gridCol w:w="3454"/>
        <w:gridCol w:w="2388"/>
        <w:gridCol w:w="3518"/>
      </w:tblGrid>
      <w:tr w:rsidR="007D1244" w:rsidRPr="008E1B70" w:rsidTr="002F0640">
        <w:trPr>
          <w:tblCellSpacing w:w="0" w:type="dxa"/>
        </w:trPr>
        <w:tc>
          <w:tcPr>
            <w:tcW w:w="321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7D1244" w:rsidRPr="008E1B70" w:rsidRDefault="007D1244" w:rsidP="002F0640">
            <w:pPr>
              <w:spacing w:before="100" w:beforeAutospacing="1" w:after="100" w:afterAutospacing="1" w:line="240" w:lineRule="auto"/>
              <w:ind w:left="363"/>
              <w:jc w:val="both"/>
              <w:rPr>
                <w:rFonts w:ascii="Garamond" w:hAnsi="Garamond"/>
                <w:sz w:val="28"/>
                <w:szCs w:val="28"/>
                <w:lang w:eastAsia="it-IT"/>
              </w:rPr>
            </w:pPr>
          </w:p>
        </w:tc>
        <w:tc>
          <w:tcPr>
            <w:tcW w:w="222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7D1244" w:rsidRPr="008E1B70" w:rsidRDefault="007D1244" w:rsidP="002F0640">
            <w:pPr>
              <w:spacing w:before="100" w:beforeAutospacing="1" w:after="100" w:afterAutospacing="1" w:line="240" w:lineRule="auto"/>
              <w:ind w:left="363"/>
              <w:jc w:val="both"/>
              <w:rPr>
                <w:rFonts w:ascii="Garamond" w:hAnsi="Garamond"/>
                <w:sz w:val="28"/>
                <w:szCs w:val="28"/>
                <w:lang w:eastAsia="it-IT"/>
              </w:rPr>
            </w:pPr>
            <w:r w:rsidRPr="008E1B70">
              <w:rPr>
                <w:rFonts w:ascii="Garamond" w:hAnsi="Garamond"/>
                <w:b/>
                <w:bCs/>
                <w:sz w:val="28"/>
                <w:szCs w:val="28"/>
                <w:lang w:eastAsia="it-IT"/>
              </w:rPr>
              <w:t>Peso misurazione obiettivi individuali</w:t>
            </w:r>
          </w:p>
        </w:tc>
        <w:tc>
          <w:tcPr>
            <w:tcW w:w="32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D1244" w:rsidRPr="008E1B70" w:rsidRDefault="007D1244" w:rsidP="002F0640">
            <w:pPr>
              <w:spacing w:before="100" w:beforeAutospacing="1" w:after="100" w:afterAutospacing="1" w:line="240" w:lineRule="auto"/>
              <w:ind w:left="363"/>
              <w:jc w:val="both"/>
              <w:rPr>
                <w:rFonts w:ascii="Garamond" w:hAnsi="Garamond"/>
                <w:sz w:val="28"/>
                <w:szCs w:val="28"/>
                <w:lang w:eastAsia="it-IT"/>
              </w:rPr>
            </w:pPr>
            <w:r w:rsidRPr="008E1B70">
              <w:rPr>
                <w:rFonts w:ascii="Garamond" w:hAnsi="Garamond"/>
                <w:b/>
                <w:bCs/>
                <w:sz w:val="28"/>
                <w:szCs w:val="28"/>
                <w:lang w:eastAsia="it-IT"/>
              </w:rPr>
              <w:t>Peso valutazione competenze e comportamenti organizzativi</w:t>
            </w:r>
          </w:p>
        </w:tc>
      </w:tr>
      <w:tr w:rsidR="007D1244" w:rsidRPr="008E1B70" w:rsidTr="002F0640">
        <w:trPr>
          <w:tblCellSpacing w:w="0" w:type="dxa"/>
        </w:trPr>
        <w:tc>
          <w:tcPr>
            <w:tcW w:w="321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7D1244" w:rsidRPr="008E1B70" w:rsidRDefault="007D1244" w:rsidP="002F0640">
            <w:pPr>
              <w:spacing w:before="100" w:beforeAutospacing="1" w:after="100" w:afterAutospacing="1" w:line="240" w:lineRule="auto"/>
              <w:ind w:left="363"/>
              <w:jc w:val="both"/>
              <w:rPr>
                <w:rFonts w:ascii="Garamond" w:hAnsi="Garamond"/>
                <w:sz w:val="28"/>
                <w:szCs w:val="28"/>
                <w:lang w:eastAsia="it-IT"/>
              </w:rPr>
            </w:pPr>
            <w:r w:rsidRPr="008E1B70">
              <w:rPr>
                <w:rFonts w:ascii="Garamond" w:hAnsi="Garamond"/>
                <w:sz w:val="28"/>
                <w:szCs w:val="28"/>
                <w:lang w:eastAsia="it-IT"/>
              </w:rPr>
              <w:t>Direttore di struttura complessa e responsabile di struttura semplice</w:t>
            </w:r>
          </w:p>
        </w:tc>
        <w:tc>
          <w:tcPr>
            <w:tcW w:w="222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7D1244" w:rsidRPr="008E1B70" w:rsidRDefault="007D1244" w:rsidP="002F0640">
            <w:pPr>
              <w:spacing w:before="100" w:beforeAutospacing="1" w:after="100" w:afterAutospacing="1" w:line="240" w:lineRule="auto"/>
              <w:ind w:left="363"/>
              <w:jc w:val="both"/>
              <w:rPr>
                <w:rFonts w:ascii="Garamond" w:hAnsi="Garamond"/>
                <w:sz w:val="28"/>
                <w:szCs w:val="28"/>
                <w:lang w:eastAsia="it-IT"/>
              </w:rPr>
            </w:pPr>
            <w:r w:rsidRPr="008E1B70">
              <w:rPr>
                <w:rFonts w:ascii="Garamond" w:hAnsi="Garamond"/>
                <w:sz w:val="28"/>
                <w:szCs w:val="28"/>
                <w:lang w:eastAsia="it-IT"/>
              </w:rPr>
              <w:t>50%</w:t>
            </w:r>
          </w:p>
        </w:tc>
        <w:tc>
          <w:tcPr>
            <w:tcW w:w="32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D1244" w:rsidRPr="008E1B70" w:rsidRDefault="007D1244" w:rsidP="002F0640">
            <w:pPr>
              <w:spacing w:before="100" w:beforeAutospacing="1" w:after="100" w:afterAutospacing="1" w:line="240" w:lineRule="auto"/>
              <w:ind w:left="363"/>
              <w:jc w:val="both"/>
              <w:rPr>
                <w:rFonts w:ascii="Garamond" w:hAnsi="Garamond"/>
                <w:sz w:val="28"/>
                <w:szCs w:val="28"/>
                <w:lang w:eastAsia="it-IT"/>
              </w:rPr>
            </w:pPr>
            <w:r w:rsidRPr="008E1B70">
              <w:rPr>
                <w:rFonts w:ascii="Garamond" w:hAnsi="Garamond"/>
                <w:sz w:val="28"/>
                <w:szCs w:val="28"/>
                <w:lang w:eastAsia="it-IT"/>
              </w:rPr>
              <w:t>50%</w:t>
            </w:r>
          </w:p>
        </w:tc>
      </w:tr>
      <w:tr w:rsidR="007D1244" w:rsidRPr="008E1B70" w:rsidTr="002F0640">
        <w:trPr>
          <w:tblCellSpacing w:w="0" w:type="dxa"/>
        </w:trPr>
        <w:tc>
          <w:tcPr>
            <w:tcW w:w="321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7D1244" w:rsidRPr="008E1B70" w:rsidRDefault="007D1244" w:rsidP="002F0640">
            <w:pPr>
              <w:spacing w:before="100" w:beforeAutospacing="1" w:after="100" w:afterAutospacing="1" w:line="240" w:lineRule="auto"/>
              <w:ind w:left="363"/>
              <w:jc w:val="both"/>
              <w:rPr>
                <w:rFonts w:ascii="Garamond" w:hAnsi="Garamond"/>
                <w:sz w:val="28"/>
                <w:szCs w:val="28"/>
                <w:lang w:eastAsia="it-IT"/>
              </w:rPr>
            </w:pPr>
            <w:r w:rsidRPr="008E1B70">
              <w:rPr>
                <w:rFonts w:ascii="Garamond" w:hAnsi="Garamond"/>
                <w:sz w:val="28"/>
                <w:szCs w:val="28"/>
                <w:lang w:eastAsia="it-IT"/>
              </w:rPr>
              <w:t>Dirigente</w:t>
            </w:r>
          </w:p>
        </w:tc>
        <w:tc>
          <w:tcPr>
            <w:tcW w:w="2220" w:type="dxa"/>
            <w:tcBorders>
              <w:top w:val="single" w:sz="6" w:space="0" w:color="000000"/>
              <w:left w:val="single" w:sz="6" w:space="0" w:color="000000"/>
              <w:bottom w:val="single" w:sz="6" w:space="0" w:color="000000"/>
              <w:right w:val="nil"/>
            </w:tcBorders>
            <w:tcMar>
              <w:top w:w="0" w:type="dxa"/>
              <w:left w:w="108" w:type="dxa"/>
              <w:bottom w:w="0" w:type="dxa"/>
              <w:right w:w="0" w:type="dxa"/>
            </w:tcMar>
          </w:tcPr>
          <w:p w:rsidR="007D1244" w:rsidRPr="008E1B70" w:rsidRDefault="007D1244" w:rsidP="002F0640">
            <w:pPr>
              <w:spacing w:before="100" w:beforeAutospacing="1" w:after="100" w:afterAutospacing="1" w:line="240" w:lineRule="auto"/>
              <w:ind w:left="363"/>
              <w:jc w:val="both"/>
              <w:rPr>
                <w:rFonts w:ascii="Garamond" w:hAnsi="Garamond"/>
                <w:sz w:val="28"/>
                <w:szCs w:val="28"/>
                <w:lang w:eastAsia="it-IT"/>
              </w:rPr>
            </w:pPr>
            <w:r w:rsidRPr="008E1B70">
              <w:rPr>
                <w:rFonts w:ascii="Garamond" w:hAnsi="Garamond"/>
                <w:sz w:val="28"/>
                <w:szCs w:val="28"/>
                <w:lang w:eastAsia="it-IT"/>
              </w:rPr>
              <w:t>60%</w:t>
            </w:r>
          </w:p>
        </w:tc>
        <w:tc>
          <w:tcPr>
            <w:tcW w:w="32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D1244" w:rsidRPr="008E1B70" w:rsidRDefault="007D1244" w:rsidP="002F0640">
            <w:pPr>
              <w:spacing w:before="100" w:beforeAutospacing="1" w:after="100" w:afterAutospacing="1" w:line="240" w:lineRule="auto"/>
              <w:ind w:left="363"/>
              <w:jc w:val="both"/>
              <w:rPr>
                <w:rFonts w:ascii="Garamond" w:hAnsi="Garamond"/>
                <w:sz w:val="28"/>
                <w:szCs w:val="28"/>
                <w:lang w:eastAsia="it-IT"/>
              </w:rPr>
            </w:pPr>
            <w:r w:rsidRPr="008E1B70">
              <w:rPr>
                <w:rFonts w:ascii="Garamond" w:hAnsi="Garamond"/>
                <w:sz w:val="28"/>
                <w:szCs w:val="28"/>
                <w:lang w:eastAsia="it-IT"/>
              </w:rPr>
              <w:t>40%</w:t>
            </w:r>
          </w:p>
        </w:tc>
      </w:tr>
    </w:tbl>
    <w:p w:rsidR="007D1244" w:rsidRPr="008E1B70" w:rsidRDefault="007D1244" w:rsidP="008E1B70">
      <w:pPr>
        <w:spacing w:before="100" w:beforeAutospacing="1" w:after="100" w:afterAutospacing="1" w:line="240" w:lineRule="auto"/>
        <w:jc w:val="both"/>
        <w:rPr>
          <w:rFonts w:ascii="Garamond" w:hAnsi="Garamond"/>
          <w:sz w:val="28"/>
          <w:szCs w:val="28"/>
          <w:lang w:eastAsia="it-IT"/>
        </w:rPr>
      </w:pPr>
    </w:p>
    <w:p w:rsidR="007D1244" w:rsidRPr="008E1B70" w:rsidRDefault="007D1244" w:rsidP="008E1B70">
      <w:pPr>
        <w:spacing w:before="100" w:beforeAutospacing="1" w:after="100" w:afterAutospacing="1" w:line="240" w:lineRule="auto"/>
        <w:ind w:left="360"/>
        <w:jc w:val="both"/>
        <w:rPr>
          <w:rFonts w:ascii="Garamond" w:hAnsi="Garamond"/>
          <w:sz w:val="28"/>
          <w:szCs w:val="28"/>
          <w:lang w:eastAsia="it-IT"/>
        </w:rPr>
      </w:pPr>
      <w:r>
        <w:rPr>
          <w:rFonts w:ascii="Garamond" w:hAnsi="Garamond"/>
          <w:sz w:val="28"/>
          <w:szCs w:val="28"/>
          <w:lang w:eastAsia="it-IT"/>
        </w:rPr>
        <w:t xml:space="preserve">B4) </w:t>
      </w:r>
      <w:r w:rsidRPr="008E1B70">
        <w:rPr>
          <w:rFonts w:ascii="Garamond" w:hAnsi="Garamond"/>
          <w:sz w:val="28"/>
          <w:szCs w:val="28"/>
          <w:lang w:eastAsia="it-IT"/>
        </w:rPr>
        <w:t xml:space="preserve">La valutazione individuale inferiore al 50% è da intendersi quale valutazione negativa ai sensi CCNL 2016 2018. </w:t>
      </w:r>
    </w:p>
    <w:p w:rsidR="007D1244" w:rsidRDefault="007D1244" w:rsidP="003A224A">
      <w:pPr>
        <w:spacing w:before="100" w:beforeAutospacing="1" w:after="100" w:afterAutospacing="1" w:line="240" w:lineRule="auto"/>
        <w:ind w:left="360"/>
        <w:jc w:val="both"/>
        <w:rPr>
          <w:rFonts w:ascii="Garamond" w:hAnsi="Garamond"/>
          <w:sz w:val="28"/>
          <w:szCs w:val="28"/>
          <w:lang w:eastAsia="it-IT"/>
        </w:rPr>
      </w:pPr>
      <w:r>
        <w:rPr>
          <w:rFonts w:ascii="Garamond" w:hAnsi="Garamond"/>
          <w:sz w:val="28"/>
          <w:szCs w:val="28"/>
          <w:lang w:eastAsia="it-IT"/>
        </w:rPr>
        <w:t xml:space="preserve">B5) </w:t>
      </w:r>
      <w:r w:rsidRPr="008E1B70">
        <w:rPr>
          <w:rFonts w:ascii="Garamond" w:hAnsi="Garamond"/>
          <w:sz w:val="28"/>
          <w:szCs w:val="28"/>
          <w:lang w:eastAsia="it-IT"/>
        </w:rPr>
        <w:t xml:space="preserve">Il risultato complessivo della performance individuale determina la quota individuale </w:t>
      </w:r>
      <w:r>
        <w:rPr>
          <w:rFonts w:ascii="Garamond" w:hAnsi="Garamond"/>
          <w:sz w:val="28"/>
          <w:szCs w:val="28"/>
          <w:lang w:eastAsia="it-IT"/>
        </w:rPr>
        <w:t>.</w:t>
      </w:r>
    </w:p>
    <w:p w:rsidR="007D1244" w:rsidRPr="008E1B70" w:rsidRDefault="007D1244" w:rsidP="003A224A">
      <w:pPr>
        <w:spacing w:before="100" w:beforeAutospacing="1" w:after="100" w:afterAutospacing="1" w:line="240" w:lineRule="auto"/>
        <w:ind w:left="360"/>
        <w:jc w:val="both"/>
        <w:rPr>
          <w:rFonts w:ascii="Garamond" w:hAnsi="Garamond"/>
          <w:sz w:val="28"/>
          <w:szCs w:val="28"/>
          <w:lang w:eastAsia="it-IT"/>
        </w:rPr>
      </w:pPr>
      <w:r>
        <w:rPr>
          <w:rFonts w:ascii="Garamond" w:hAnsi="Garamond"/>
          <w:b/>
          <w:bCs/>
          <w:sz w:val="28"/>
          <w:szCs w:val="28"/>
          <w:lang w:eastAsia="it-IT"/>
        </w:rPr>
        <w:t xml:space="preserve">B6) </w:t>
      </w:r>
      <w:r w:rsidRPr="003A224A">
        <w:rPr>
          <w:rFonts w:ascii="Garamond" w:hAnsi="Garamond"/>
          <w:sz w:val="28"/>
          <w:szCs w:val="28"/>
          <w:lang w:eastAsia="it-IT"/>
        </w:rPr>
        <w:t>In mancanza della valutazione individuale, il conguaglio può essere calcolato ed erogato solo per la quota legata al risultato di performance organizzativa (60%)</w:t>
      </w:r>
      <w:r>
        <w:rPr>
          <w:rFonts w:ascii="Garamond" w:hAnsi="Garamond"/>
          <w:sz w:val="28"/>
          <w:szCs w:val="28"/>
          <w:lang w:eastAsia="it-IT"/>
        </w:rPr>
        <w:t>.</w:t>
      </w:r>
    </w:p>
    <w:p w:rsidR="007D1244" w:rsidRPr="003A224A" w:rsidRDefault="007D1244" w:rsidP="003A224A">
      <w:pPr>
        <w:spacing w:before="100" w:beforeAutospacing="1" w:after="100" w:afterAutospacing="1" w:line="240" w:lineRule="auto"/>
        <w:ind w:left="360"/>
        <w:jc w:val="both"/>
        <w:rPr>
          <w:rFonts w:ascii="Garamond" w:hAnsi="Garamond"/>
          <w:b/>
          <w:bCs/>
          <w:sz w:val="28"/>
          <w:szCs w:val="28"/>
          <w:lang w:eastAsia="it-IT"/>
        </w:rPr>
      </w:pPr>
      <w:r w:rsidRPr="00C41150">
        <w:rPr>
          <w:rFonts w:ascii="Garamond" w:hAnsi="Garamond"/>
          <w:b/>
          <w:bCs/>
          <w:sz w:val="28"/>
          <w:szCs w:val="28"/>
          <w:lang w:eastAsia="it-IT"/>
        </w:rPr>
        <w:t>ART. 5 DIPOSIZIONI PARTICOLARI</w:t>
      </w:r>
    </w:p>
    <w:p w:rsidR="007D1244" w:rsidRPr="003A224A" w:rsidRDefault="007D1244" w:rsidP="003A224A">
      <w:pPr>
        <w:numPr>
          <w:ilvl w:val="0"/>
          <w:numId w:val="4"/>
        </w:numPr>
        <w:spacing w:before="100" w:beforeAutospacing="1" w:after="100" w:afterAutospacing="1" w:line="240" w:lineRule="auto"/>
        <w:jc w:val="both"/>
        <w:rPr>
          <w:rFonts w:ascii="Garamond" w:hAnsi="Garamond"/>
          <w:sz w:val="28"/>
          <w:szCs w:val="28"/>
          <w:lang w:eastAsia="it-IT"/>
        </w:rPr>
      </w:pPr>
      <w:r w:rsidRPr="003A224A">
        <w:rPr>
          <w:rFonts w:ascii="Garamond" w:hAnsi="Garamond"/>
          <w:sz w:val="28"/>
          <w:szCs w:val="28"/>
          <w:lang w:eastAsia="it-IT"/>
        </w:rPr>
        <w:t>La retribuzione di risultato complessiva individuale annuale spettante (60%+40%) viene parametrata sulla base della presenza in servizio del personale; non si considerano i primi 30 giorni di assenza anche non continuativa, e sono escluse dal computo le assenze relative all’astensione obbligatoria, all’infortunio sul lavoro, alla L. 104/92 ed alle gravi patologie certificate dall’organo competente. In tali casi gli obiettivi individuali saranno rimodulati dal dirigente responsabile in ragione della presenza in servizio del dirigente.</w:t>
      </w:r>
    </w:p>
    <w:p w:rsidR="007D1244" w:rsidRPr="003A224A" w:rsidRDefault="007D1244" w:rsidP="003A224A">
      <w:pPr>
        <w:numPr>
          <w:ilvl w:val="0"/>
          <w:numId w:val="4"/>
        </w:numPr>
        <w:spacing w:before="100" w:beforeAutospacing="1" w:after="100" w:afterAutospacing="1" w:line="240" w:lineRule="auto"/>
        <w:jc w:val="both"/>
        <w:rPr>
          <w:rFonts w:ascii="Garamond" w:hAnsi="Garamond"/>
          <w:sz w:val="28"/>
          <w:szCs w:val="28"/>
          <w:lang w:eastAsia="it-IT"/>
        </w:rPr>
      </w:pPr>
      <w:r w:rsidRPr="003A224A">
        <w:rPr>
          <w:rFonts w:ascii="Garamond" w:hAnsi="Garamond"/>
          <w:sz w:val="28"/>
          <w:szCs w:val="28"/>
          <w:lang w:eastAsia="it-IT"/>
        </w:rPr>
        <w:t>In caso di tempo ridotto (part time) la retribuzione di risultato individuale annua spettante complessivo viene parametrato sulla base della presenza in servizio.</w:t>
      </w:r>
    </w:p>
    <w:p w:rsidR="007D1244" w:rsidRPr="003A224A" w:rsidRDefault="007D1244" w:rsidP="003A224A">
      <w:pPr>
        <w:numPr>
          <w:ilvl w:val="0"/>
          <w:numId w:val="4"/>
        </w:numPr>
        <w:spacing w:before="100" w:beforeAutospacing="1" w:after="100" w:afterAutospacing="1" w:line="240" w:lineRule="auto"/>
        <w:jc w:val="both"/>
        <w:rPr>
          <w:rFonts w:ascii="Garamond" w:hAnsi="Garamond"/>
          <w:sz w:val="28"/>
          <w:szCs w:val="28"/>
          <w:lang w:eastAsia="it-IT"/>
        </w:rPr>
      </w:pPr>
      <w:r w:rsidRPr="003A224A">
        <w:rPr>
          <w:rFonts w:ascii="Garamond" w:hAnsi="Garamond"/>
          <w:sz w:val="28"/>
          <w:szCs w:val="28"/>
          <w:lang w:eastAsia="it-IT"/>
        </w:rPr>
        <w:t xml:space="preserve">Il conguaglio della quota complessiva individuale spettante annua, come definita e calcolata ai sensi </w:t>
      </w:r>
      <w:r>
        <w:rPr>
          <w:rFonts w:ascii="Garamond" w:hAnsi="Garamond"/>
          <w:sz w:val="28"/>
          <w:szCs w:val="28"/>
          <w:lang w:eastAsia="it-IT"/>
        </w:rPr>
        <w:t>degli articoli</w:t>
      </w:r>
      <w:r w:rsidRPr="003A224A">
        <w:rPr>
          <w:rFonts w:ascii="Garamond" w:hAnsi="Garamond"/>
          <w:sz w:val="28"/>
          <w:szCs w:val="28"/>
          <w:lang w:eastAsia="it-IT"/>
        </w:rPr>
        <w:t xml:space="preserve"> precedenti, viene effettuato a novembre dell’ anno successivo, comunque entro e non oltre il 31.12 dell’anno successivo ed è calcolato sottraendo alla quota teorica quanto già percepito in corso d’anno per stato di avanzamento previsto.</w:t>
      </w:r>
    </w:p>
    <w:p w:rsidR="007D1244" w:rsidRPr="003A224A" w:rsidRDefault="007D1244" w:rsidP="003A224A">
      <w:pPr>
        <w:numPr>
          <w:ilvl w:val="0"/>
          <w:numId w:val="4"/>
        </w:numPr>
        <w:spacing w:before="100" w:beforeAutospacing="1" w:after="100" w:afterAutospacing="1" w:line="240" w:lineRule="auto"/>
        <w:jc w:val="both"/>
        <w:rPr>
          <w:rFonts w:ascii="Garamond" w:hAnsi="Garamond"/>
          <w:sz w:val="28"/>
          <w:szCs w:val="28"/>
          <w:lang w:eastAsia="it-IT"/>
        </w:rPr>
      </w:pPr>
      <w:r w:rsidRPr="003A224A">
        <w:rPr>
          <w:rFonts w:ascii="Garamond" w:hAnsi="Garamond"/>
          <w:sz w:val="28"/>
          <w:szCs w:val="28"/>
          <w:lang w:eastAsia="it-IT"/>
        </w:rPr>
        <w:t xml:space="preserve">In caso di presenza in servizio inferiore a 30 gg nell'anno, non potrà darsi luogo alla corresponsione della retribuzione di risultato. </w:t>
      </w:r>
    </w:p>
    <w:p w:rsidR="007D1244" w:rsidRPr="003A224A" w:rsidRDefault="007D1244" w:rsidP="003A224A">
      <w:pPr>
        <w:numPr>
          <w:ilvl w:val="0"/>
          <w:numId w:val="4"/>
        </w:numPr>
        <w:spacing w:before="100" w:beforeAutospacing="1" w:after="278" w:line="240" w:lineRule="auto"/>
        <w:jc w:val="both"/>
        <w:rPr>
          <w:rFonts w:ascii="Garamond" w:hAnsi="Garamond"/>
          <w:sz w:val="28"/>
          <w:szCs w:val="28"/>
          <w:lang w:eastAsia="it-IT"/>
        </w:rPr>
      </w:pPr>
      <w:r w:rsidRPr="003A224A">
        <w:rPr>
          <w:rFonts w:ascii="Garamond" w:hAnsi="Garamond"/>
          <w:sz w:val="28"/>
          <w:szCs w:val="28"/>
          <w:lang w:eastAsia="it-IT"/>
        </w:rPr>
        <w:t xml:space="preserve">Il termine massimo per la chiusura della gestione del fondo e dell’istituto della retribuzione di risultato è il 30 giugno del secondo anno successivo a quello di competenza; oltre tale scadenza non sono più erogabili quote di competenza. </w:t>
      </w:r>
    </w:p>
    <w:p w:rsidR="007D1244" w:rsidRPr="008E1B70" w:rsidRDefault="007D1244" w:rsidP="002A17EB">
      <w:pPr>
        <w:shd w:val="clear" w:color="auto" w:fill="FFFFFF"/>
        <w:spacing w:before="100" w:beforeAutospacing="1" w:after="100" w:afterAutospacing="1" w:line="240" w:lineRule="auto"/>
        <w:jc w:val="both"/>
        <w:rPr>
          <w:rFonts w:ascii="Garamond" w:hAnsi="Garamond"/>
          <w:sz w:val="28"/>
          <w:szCs w:val="28"/>
          <w:lang w:eastAsia="it-IT"/>
        </w:rPr>
      </w:pPr>
      <w:r w:rsidRPr="00C41150">
        <w:rPr>
          <w:rFonts w:ascii="Garamond" w:hAnsi="Garamond"/>
          <w:b/>
          <w:bCs/>
          <w:sz w:val="28"/>
          <w:szCs w:val="28"/>
          <w:shd w:val="clear" w:color="auto" w:fill="FFFFFF"/>
          <w:lang w:eastAsia="it-IT"/>
        </w:rPr>
        <w:t>ART. 6 CRITERI PER INTEGRAZIONE DELLA RETRIBUZIONE DI RISULTATO ( art. 66 comma 1 lett. i)</w:t>
      </w:r>
    </w:p>
    <w:p w:rsidR="007D1244" w:rsidRPr="003A224A" w:rsidRDefault="007D1244" w:rsidP="002A17EB">
      <w:pPr>
        <w:shd w:val="clear" w:color="auto" w:fill="FFFFFF"/>
        <w:spacing w:before="100" w:beforeAutospacing="1" w:after="100" w:afterAutospacing="1" w:line="240" w:lineRule="auto"/>
        <w:jc w:val="both"/>
        <w:rPr>
          <w:rFonts w:ascii="Garamond" w:hAnsi="Garamond"/>
          <w:sz w:val="28"/>
          <w:szCs w:val="28"/>
          <w:lang w:eastAsia="it-IT"/>
        </w:rPr>
      </w:pPr>
      <w:r w:rsidRPr="003A224A">
        <w:rPr>
          <w:rFonts w:ascii="Garamond" w:hAnsi="Garamond"/>
          <w:sz w:val="28"/>
          <w:szCs w:val="28"/>
          <w:shd w:val="clear" w:color="auto" w:fill="FFFFFF"/>
          <w:lang w:eastAsia="it-IT"/>
        </w:rPr>
        <w:t>Le parti concordano di destinare una quota del fondo pari al 5% per la realizzazione di progetti aziendali e per la valorizzazione individuale.</w:t>
      </w:r>
    </w:p>
    <w:p w:rsidR="007D1244" w:rsidRPr="008E1B70" w:rsidRDefault="007D1244" w:rsidP="00FA1D3A">
      <w:pPr>
        <w:spacing w:before="100" w:beforeAutospacing="1" w:after="100" w:afterAutospacing="1" w:line="240" w:lineRule="auto"/>
        <w:jc w:val="both"/>
        <w:rPr>
          <w:rFonts w:ascii="Garamond" w:hAnsi="Garamond"/>
          <w:sz w:val="28"/>
          <w:szCs w:val="28"/>
          <w:lang w:eastAsia="it-IT"/>
        </w:rPr>
      </w:pPr>
      <w:r w:rsidRPr="008E1B70">
        <w:rPr>
          <w:rFonts w:ascii="Garamond" w:hAnsi="Garamond"/>
          <w:sz w:val="28"/>
          <w:szCs w:val="28"/>
          <w:shd w:val="clear" w:color="auto" w:fill="FFFFFF"/>
          <w:lang w:eastAsia="it-IT"/>
        </w:rPr>
        <w:t xml:space="preserve">Il sub fondo di che trattasi </w:t>
      </w:r>
      <w:r w:rsidRPr="008E1B70">
        <w:rPr>
          <w:rFonts w:ascii="Garamond" w:hAnsi="Garamond"/>
          <w:sz w:val="28"/>
          <w:szCs w:val="28"/>
          <w:lang w:eastAsia="it-IT"/>
        </w:rPr>
        <w:t xml:space="preserve">viene utilizzato dalla Direzione Aziendale anche  per la valorizzazione della prestazione individuali (garantendo un criterio di rotazione individuale e di servizi) anche all’ interno di progetti speciali. Viene poi riconosciuto un premio individuale massimo di </w:t>
      </w:r>
      <w:r w:rsidRPr="005906A7">
        <w:rPr>
          <w:rFonts w:ascii="Garamond" w:hAnsi="Garamond" w:cs="Arial"/>
          <w:sz w:val="24"/>
          <w:szCs w:val="24"/>
          <w:lang w:eastAsia="it-IT"/>
        </w:rPr>
        <w:t>€</w:t>
      </w:r>
      <w:r w:rsidRPr="008E1B70">
        <w:rPr>
          <w:rFonts w:ascii="Garamond" w:hAnsi="Garamond"/>
          <w:sz w:val="28"/>
          <w:szCs w:val="28"/>
          <w:lang w:eastAsia="it-IT"/>
        </w:rPr>
        <w:t xml:space="preserve"> 6</w:t>
      </w:r>
      <w:r>
        <w:rPr>
          <w:rFonts w:ascii="Garamond" w:hAnsi="Garamond"/>
          <w:sz w:val="28"/>
          <w:szCs w:val="28"/>
          <w:lang w:eastAsia="it-IT"/>
        </w:rPr>
        <w:t>.</w:t>
      </w:r>
      <w:r w:rsidRPr="008E1B70">
        <w:rPr>
          <w:rFonts w:ascii="Garamond" w:hAnsi="Garamond"/>
          <w:sz w:val="28"/>
          <w:szCs w:val="28"/>
          <w:lang w:eastAsia="it-IT"/>
        </w:rPr>
        <w:t>000</w:t>
      </w:r>
      <w:r>
        <w:rPr>
          <w:rFonts w:ascii="Garamond" w:hAnsi="Garamond"/>
          <w:sz w:val="28"/>
          <w:szCs w:val="28"/>
          <w:lang w:eastAsia="it-IT"/>
        </w:rPr>
        <w:t>,00</w:t>
      </w:r>
      <w:r w:rsidRPr="008E1B70">
        <w:rPr>
          <w:rFonts w:ascii="Garamond" w:hAnsi="Garamond"/>
          <w:sz w:val="28"/>
          <w:szCs w:val="28"/>
          <w:lang w:eastAsia="it-IT"/>
        </w:rPr>
        <w:t xml:space="preserve"> annuali per i dirigenti incaricati responsabili della prevenzione e della corruzione e della trasparenza e per il responsabile aziendale privacy.</w:t>
      </w:r>
    </w:p>
    <w:p w:rsidR="007D1244" w:rsidRDefault="007D1244" w:rsidP="002510A6">
      <w:pPr>
        <w:spacing w:before="100" w:beforeAutospacing="1" w:after="100" w:afterAutospacing="1" w:line="240" w:lineRule="auto"/>
        <w:jc w:val="both"/>
        <w:rPr>
          <w:rFonts w:ascii="Garamond" w:hAnsi="Garamond"/>
          <w:sz w:val="28"/>
          <w:szCs w:val="28"/>
          <w:lang w:eastAsia="it-IT"/>
        </w:rPr>
      </w:pPr>
      <w:r w:rsidRPr="008E1B70">
        <w:rPr>
          <w:rFonts w:ascii="Garamond" w:hAnsi="Garamond"/>
          <w:sz w:val="28"/>
          <w:szCs w:val="28"/>
          <w:lang w:eastAsia="it-IT"/>
        </w:rPr>
        <w:t xml:space="preserve"> Di tale utilizzazione viene data ogni anno apposita informativa preventiva e consuntiva alle OO.SS. Il sub fondo può essere utilizzato dalla Direzione aziendale nel caso di incarichi di struttura attribuiti </w:t>
      </w:r>
      <w:r>
        <w:rPr>
          <w:rFonts w:ascii="Garamond" w:hAnsi="Garamond"/>
          <w:sz w:val="28"/>
          <w:szCs w:val="28"/>
          <w:lang w:eastAsia="it-IT"/>
        </w:rPr>
        <w:t>ad interim</w:t>
      </w:r>
      <w:r w:rsidRPr="008E1B70">
        <w:rPr>
          <w:rFonts w:ascii="Garamond" w:hAnsi="Garamond"/>
          <w:sz w:val="28"/>
          <w:szCs w:val="28"/>
          <w:lang w:eastAsia="it-IT"/>
        </w:rPr>
        <w:t xml:space="preserve"> pe</w:t>
      </w:r>
      <w:r>
        <w:rPr>
          <w:rFonts w:ascii="Garamond" w:hAnsi="Garamond"/>
          <w:sz w:val="28"/>
          <w:szCs w:val="28"/>
          <w:lang w:eastAsia="it-IT"/>
        </w:rPr>
        <w:t xml:space="preserve">r un periodo temporaneo quale retribuzione di risultato </w:t>
      </w:r>
      <w:r w:rsidRPr="008E1B70">
        <w:rPr>
          <w:rFonts w:ascii="Garamond" w:hAnsi="Garamond"/>
          <w:sz w:val="28"/>
          <w:szCs w:val="28"/>
          <w:lang w:eastAsia="it-IT"/>
        </w:rPr>
        <w:t>che comunque non può superare quanto viene riconosciuto per il medesimo titolo per la struttura complessa di cui è titolare</w:t>
      </w:r>
      <w:r>
        <w:rPr>
          <w:rFonts w:ascii="Garamond" w:hAnsi="Garamond"/>
          <w:sz w:val="28"/>
          <w:szCs w:val="28"/>
          <w:lang w:eastAsia="it-IT"/>
        </w:rPr>
        <w:t xml:space="preserve"> come definiti dall’art 9, comma 1</w:t>
      </w:r>
      <w:r w:rsidRPr="008E1B70">
        <w:rPr>
          <w:rFonts w:ascii="Garamond" w:hAnsi="Garamond"/>
          <w:sz w:val="28"/>
          <w:szCs w:val="28"/>
          <w:lang w:eastAsia="it-IT"/>
        </w:rPr>
        <w:t xml:space="preserve">. </w:t>
      </w:r>
    </w:p>
    <w:p w:rsidR="007D1244" w:rsidRPr="008E1B70" w:rsidRDefault="007D1244" w:rsidP="002510A6">
      <w:pPr>
        <w:spacing w:before="100" w:beforeAutospacing="1" w:after="100" w:afterAutospacing="1" w:line="240" w:lineRule="auto"/>
        <w:jc w:val="both"/>
        <w:rPr>
          <w:rFonts w:ascii="Garamond" w:hAnsi="Garamond"/>
          <w:sz w:val="28"/>
          <w:szCs w:val="28"/>
          <w:lang w:eastAsia="it-IT"/>
        </w:rPr>
      </w:pPr>
      <w:r w:rsidRPr="00C41150">
        <w:rPr>
          <w:rFonts w:ascii="Garamond" w:hAnsi="Garamond"/>
          <w:sz w:val="28"/>
          <w:szCs w:val="28"/>
          <w:lang w:eastAsia="it-IT"/>
        </w:rPr>
        <w:t>Tale retribuzione di risultato non viene riconosciuta ai Direttore di area o di Dipartimento qualora ricoprano i medesimi incarichi ad interim di Area/ UOC/UOS afferenti alla struttura dipartimentale sovra ordinata.</w:t>
      </w:r>
    </w:p>
    <w:p w:rsidR="007D1244" w:rsidRPr="008E1B70" w:rsidRDefault="007D1244" w:rsidP="002A17EB">
      <w:pPr>
        <w:spacing w:before="100" w:beforeAutospacing="1" w:after="100" w:afterAutospacing="1" w:line="240" w:lineRule="auto"/>
        <w:jc w:val="both"/>
        <w:rPr>
          <w:rFonts w:ascii="Garamond" w:hAnsi="Garamond"/>
          <w:sz w:val="28"/>
          <w:szCs w:val="28"/>
          <w:lang w:eastAsia="it-IT"/>
        </w:rPr>
      </w:pPr>
      <w:r w:rsidRPr="008E1B70">
        <w:rPr>
          <w:rFonts w:ascii="Garamond" w:hAnsi="Garamond"/>
          <w:sz w:val="28"/>
          <w:szCs w:val="28"/>
          <w:lang w:eastAsia="it-IT"/>
        </w:rPr>
        <w:t xml:space="preserve">Eventuali residui di utilizzo dei sub fondi di cui ai punti precedenti sono riassegnati al Fondo generale per la distribuzione secondo le regole successivamente definite. </w:t>
      </w:r>
    </w:p>
    <w:p w:rsidR="007D1244" w:rsidRPr="00CB0C3C" w:rsidRDefault="007D1244" w:rsidP="002A17EB">
      <w:pPr>
        <w:spacing w:before="100" w:beforeAutospacing="1" w:after="100" w:afterAutospacing="1" w:line="240" w:lineRule="auto"/>
        <w:jc w:val="both"/>
        <w:rPr>
          <w:rFonts w:ascii="Garamond" w:hAnsi="Garamond"/>
          <w:b/>
          <w:bCs/>
          <w:sz w:val="28"/>
          <w:szCs w:val="28"/>
          <w:lang w:eastAsia="it-IT"/>
        </w:rPr>
      </w:pPr>
      <w:r w:rsidRPr="00C41150">
        <w:rPr>
          <w:rFonts w:ascii="Garamond" w:hAnsi="Garamond"/>
          <w:b/>
          <w:bCs/>
          <w:sz w:val="28"/>
          <w:szCs w:val="28"/>
          <w:lang w:eastAsia="it-IT"/>
        </w:rPr>
        <w:t>ART. 7 DIFFERENZIAZIONE E VARIABILITA’ DELLA RETRIBUZIONE DI RISULTATO ( art. 30 CCNL 2016/2019)</w:t>
      </w:r>
    </w:p>
    <w:p w:rsidR="007D1244" w:rsidRPr="008E1B70" w:rsidRDefault="007D1244" w:rsidP="005D1E80">
      <w:pPr>
        <w:shd w:val="clear" w:color="auto" w:fill="FFFFFF"/>
        <w:spacing w:before="100" w:beforeAutospacing="1" w:after="100" w:afterAutospacing="1" w:line="240" w:lineRule="auto"/>
        <w:jc w:val="both"/>
        <w:rPr>
          <w:rFonts w:ascii="Garamond" w:hAnsi="Garamond"/>
          <w:b/>
          <w:bCs/>
          <w:color w:val="FF0000"/>
          <w:sz w:val="28"/>
          <w:szCs w:val="28"/>
          <w:lang w:eastAsia="it-IT"/>
        </w:rPr>
      </w:pPr>
      <w:r w:rsidRPr="008E1B70">
        <w:rPr>
          <w:rFonts w:ascii="Garamond" w:hAnsi="Garamond"/>
          <w:sz w:val="28"/>
          <w:szCs w:val="28"/>
          <w:lang w:eastAsia="it-IT"/>
        </w:rPr>
        <w:t>Le parti, in applicazione comma 2 art. 30 CCNL 2016 2018, concordano che ai dirigenti che conseguano le valutazioni più elevate, secondo quanto previsto dal sistema di valutazione dell’Azienda o Ente, è attribuita una maggiorazione della retribuzione di risultato che si aggiunge alla quota di detto premio attribuita al dirigente valutato positivamente sulla base dei criteri selettivi, nella misura del + 30% della quota dividendo fondo disponibile al netto risorse riservate e destinate</w:t>
      </w:r>
      <w:r w:rsidRPr="00A13801">
        <w:rPr>
          <w:rFonts w:ascii="Garamond" w:hAnsi="Garamond"/>
          <w:sz w:val="28"/>
          <w:szCs w:val="28"/>
          <w:lang w:eastAsia="it-IT"/>
        </w:rPr>
        <w:t>. Le parti concordano</w:t>
      </w:r>
      <w:r w:rsidRPr="008E1B70">
        <w:rPr>
          <w:rFonts w:ascii="Garamond" w:hAnsi="Garamond"/>
          <w:b/>
          <w:bCs/>
          <w:sz w:val="28"/>
          <w:szCs w:val="28"/>
          <w:lang w:eastAsia="it-IT"/>
        </w:rPr>
        <w:t xml:space="preserve"> </w:t>
      </w:r>
      <w:r w:rsidRPr="003A224A">
        <w:rPr>
          <w:rFonts w:ascii="Garamond" w:hAnsi="Garamond"/>
          <w:sz w:val="28"/>
          <w:szCs w:val="28"/>
          <w:lang w:eastAsia="it-IT"/>
        </w:rPr>
        <w:t>altresì che la quota massima dei beneficiari, a cui la maggiorazione di cui sopra può essere attribuita, è fissata nella percentuale del 5% e definita nel numero di  beneficiari.</w:t>
      </w:r>
    </w:p>
    <w:p w:rsidR="007D1244" w:rsidRDefault="007D1244" w:rsidP="009473DC">
      <w:pPr>
        <w:shd w:val="clear" w:color="auto" w:fill="FFFFFF"/>
        <w:spacing w:before="100" w:beforeAutospacing="1" w:after="100" w:afterAutospacing="1" w:line="240" w:lineRule="auto"/>
        <w:jc w:val="both"/>
        <w:rPr>
          <w:rFonts w:ascii="Garamond" w:hAnsi="Garamond"/>
          <w:sz w:val="28"/>
          <w:szCs w:val="28"/>
          <w:lang w:eastAsia="it-IT"/>
        </w:rPr>
      </w:pPr>
      <w:r w:rsidRPr="00C41150">
        <w:rPr>
          <w:rFonts w:ascii="Garamond" w:hAnsi="Garamond"/>
          <w:sz w:val="28"/>
          <w:szCs w:val="28"/>
          <w:lang w:eastAsia="it-IT"/>
        </w:rPr>
        <w:t>Il 10% del premio</w:t>
      </w:r>
      <w:r w:rsidRPr="001F1CA0">
        <w:rPr>
          <w:rFonts w:ascii="Garamond" w:hAnsi="Garamond"/>
          <w:sz w:val="28"/>
          <w:szCs w:val="28"/>
          <w:lang w:eastAsia="it-IT"/>
        </w:rPr>
        <w:t xml:space="preserve"> complessivo spettante ad ogni singolo dirigente è correlato direttamente al  grado di raggiungimento complessivo degli obiettivi rife</w:t>
      </w:r>
      <w:r>
        <w:rPr>
          <w:rFonts w:ascii="Garamond" w:hAnsi="Garamond"/>
          <w:sz w:val="28"/>
          <w:szCs w:val="28"/>
          <w:lang w:eastAsia="it-IT"/>
        </w:rPr>
        <w:t>rito all’ente nel suo complesso. A</w:t>
      </w:r>
      <w:r w:rsidRPr="001F1CA0">
        <w:rPr>
          <w:rFonts w:ascii="Garamond" w:hAnsi="Garamond"/>
          <w:sz w:val="28"/>
          <w:szCs w:val="28"/>
          <w:lang w:eastAsia="it-IT"/>
        </w:rPr>
        <w:t>l fine di individuare il grado di raggiungimento complessivo è preso in considerazione il dato medio  complessivo di raggiungimento degli obiettivi riferiti ai dipartimenti di produzione (dipartimenti ospedalieri, zone distretto e delle professioni)</w:t>
      </w:r>
      <w:r>
        <w:rPr>
          <w:rFonts w:ascii="Garamond" w:hAnsi="Garamond"/>
          <w:sz w:val="28"/>
          <w:szCs w:val="28"/>
          <w:lang w:eastAsia="it-IT"/>
        </w:rPr>
        <w:t xml:space="preserve"> o in alternativa se disponibile il dato di sintesi aziendale di raggiungimento della performance del Mes</w:t>
      </w:r>
      <w:r w:rsidRPr="001F1CA0">
        <w:rPr>
          <w:rFonts w:ascii="Garamond" w:hAnsi="Garamond"/>
          <w:sz w:val="28"/>
          <w:szCs w:val="28"/>
          <w:lang w:eastAsia="it-IT"/>
        </w:rPr>
        <w:t xml:space="preserve">. </w:t>
      </w:r>
    </w:p>
    <w:p w:rsidR="007D1244" w:rsidRPr="001F1CA0" w:rsidRDefault="007D1244" w:rsidP="009473DC">
      <w:pPr>
        <w:shd w:val="clear" w:color="auto" w:fill="FFFFFF"/>
        <w:spacing w:before="100" w:beforeAutospacing="1" w:after="100" w:afterAutospacing="1" w:line="240" w:lineRule="auto"/>
        <w:jc w:val="both"/>
        <w:rPr>
          <w:rFonts w:ascii="Garamond" w:hAnsi="Garamond"/>
          <w:sz w:val="28"/>
          <w:szCs w:val="28"/>
          <w:lang w:eastAsia="it-IT"/>
        </w:rPr>
      </w:pPr>
      <w:r w:rsidRPr="00C41150">
        <w:rPr>
          <w:rFonts w:ascii="Garamond" w:hAnsi="Garamond"/>
          <w:sz w:val="28"/>
          <w:szCs w:val="28"/>
          <w:lang w:eastAsia="it-IT"/>
        </w:rPr>
        <w:t>A partire dall’anno 2023, l’applicazione di tale previsione sarà inserita nelle schede di budget delle singole strutture.</w:t>
      </w:r>
    </w:p>
    <w:p w:rsidR="007D1244" w:rsidRPr="00C41150" w:rsidRDefault="007D1244" w:rsidP="00BA626E">
      <w:pPr>
        <w:jc w:val="both"/>
        <w:rPr>
          <w:rFonts w:ascii="Garamond" w:hAnsi="Garamond"/>
          <w:sz w:val="28"/>
          <w:szCs w:val="28"/>
        </w:rPr>
      </w:pPr>
      <w:r w:rsidRPr="00C41150">
        <w:rPr>
          <w:rFonts w:ascii="Garamond" w:hAnsi="Garamond"/>
          <w:b/>
          <w:bCs/>
          <w:sz w:val="28"/>
          <w:szCs w:val="28"/>
        </w:rPr>
        <w:t>ART. 8 CRITERI PER L’ATTRIBUZIONE DEI COMPENSI PROFESSIONALI DEGLI AVVOCATI (Art. 66, lett. h CCNL)</w:t>
      </w:r>
      <w:r w:rsidRPr="00C41150">
        <w:rPr>
          <w:rFonts w:ascii="Garamond" w:hAnsi="Garamond"/>
          <w:sz w:val="28"/>
          <w:szCs w:val="28"/>
        </w:rPr>
        <w:t xml:space="preserve"> RINVIO A REGOLAMENTO AZIENDALE</w:t>
      </w:r>
    </w:p>
    <w:p w:rsidR="007D1244" w:rsidRPr="008E1B70" w:rsidRDefault="007D1244" w:rsidP="002A17EB">
      <w:pPr>
        <w:jc w:val="both"/>
        <w:rPr>
          <w:rFonts w:ascii="Garamond" w:hAnsi="Garamond"/>
          <w:b/>
          <w:bCs/>
          <w:sz w:val="28"/>
          <w:szCs w:val="28"/>
        </w:rPr>
      </w:pPr>
      <w:r w:rsidRPr="00C41150">
        <w:rPr>
          <w:rFonts w:ascii="Garamond" w:hAnsi="Garamond"/>
          <w:b/>
          <w:bCs/>
          <w:sz w:val="28"/>
          <w:szCs w:val="28"/>
        </w:rPr>
        <w:t>ART. 9 INTEGRAZIONE DELLA RETRIBUZIONE DI RISULTATO ( art. 66, comma 1 lett. i)).</w:t>
      </w:r>
    </w:p>
    <w:p w:rsidR="007D1244" w:rsidRPr="008E1B70" w:rsidRDefault="007D1244" w:rsidP="002A17EB">
      <w:pPr>
        <w:jc w:val="both"/>
        <w:rPr>
          <w:rFonts w:ascii="Garamond" w:hAnsi="Garamond"/>
          <w:sz w:val="28"/>
          <w:szCs w:val="28"/>
        </w:rPr>
      </w:pPr>
      <w:r w:rsidRPr="008E1B70">
        <w:rPr>
          <w:rFonts w:ascii="Garamond" w:hAnsi="Garamond"/>
          <w:sz w:val="28"/>
          <w:szCs w:val="28"/>
        </w:rPr>
        <w:t>Nel caso di conferimento di incarico di sostituzione ai sensi dell’art. 73</w:t>
      </w:r>
      <w:r>
        <w:rPr>
          <w:rFonts w:ascii="Garamond" w:hAnsi="Garamond"/>
          <w:sz w:val="28"/>
          <w:szCs w:val="28"/>
        </w:rPr>
        <w:t>,</w:t>
      </w:r>
      <w:r w:rsidRPr="008E1B70">
        <w:rPr>
          <w:rFonts w:ascii="Garamond" w:hAnsi="Garamond"/>
          <w:sz w:val="28"/>
          <w:szCs w:val="28"/>
        </w:rPr>
        <w:t xml:space="preserve"> commi del CCNL si dà luogo al riconoscimento delle indennità di cui al comma 7 del medesimo articolo, nonché ad una quota aggiuntiva di risultato pari a quella già prevista per l’incarico rivestito dal sostituito o rimasto vacante. Nel caso di conferimento di interim ai sensi del comma 8 si dà luogo al riconoscimento della quota di risultato che va da un minimo di </w:t>
      </w:r>
      <w:r w:rsidRPr="005906A7">
        <w:rPr>
          <w:rFonts w:ascii="Garamond" w:hAnsi="Garamond" w:cs="Arial"/>
          <w:sz w:val="24"/>
          <w:szCs w:val="24"/>
          <w:lang w:eastAsia="it-IT"/>
        </w:rPr>
        <w:t>€</w:t>
      </w:r>
      <w:r>
        <w:rPr>
          <w:rFonts w:ascii="Garamond" w:hAnsi="Garamond" w:cs="Arial"/>
          <w:sz w:val="24"/>
          <w:szCs w:val="24"/>
          <w:lang w:eastAsia="it-IT"/>
        </w:rPr>
        <w:t xml:space="preserve"> </w:t>
      </w:r>
      <w:r w:rsidRPr="008E1B70">
        <w:rPr>
          <w:rFonts w:ascii="Garamond" w:hAnsi="Garamond"/>
          <w:sz w:val="28"/>
          <w:szCs w:val="28"/>
        </w:rPr>
        <w:t>1</w:t>
      </w:r>
      <w:r>
        <w:rPr>
          <w:rFonts w:ascii="Garamond" w:hAnsi="Garamond"/>
          <w:sz w:val="28"/>
          <w:szCs w:val="28"/>
        </w:rPr>
        <w:t>.</w:t>
      </w:r>
      <w:r w:rsidRPr="008E1B70">
        <w:rPr>
          <w:rFonts w:ascii="Garamond" w:hAnsi="Garamond"/>
          <w:sz w:val="28"/>
          <w:szCs w:val="28"/>
        </w:rPr>
        <w:t>500</w:t>
      </w:r>
      <w:r>
        <w:rPr>
          <w:rFonts w:ascii="Garamond" w:hAnsi="Garamond"/>
          <w:sz w:val="28"/>
          <w:szCs w:val="28"/>
        </w:rPr>
        <w:t>,00</w:t>
      </w:r>
      <w:r w:rsidRPr="008E1B70">
        <w:rPr>
          <w:rFonts w:ascii="Garamond" w:hAnsi="Garamond"/>
          <w:sz w:val="28"/>
          <w:szCs w:val="28"/>
        </w:rPr>
        <w:t xml:space="preserve"> ad una massimo di </w:t>
      </w:r>
      <w:r w:rsidRPr="005906A7">
        <w:rPr>
          <w:rFonts w:ascii="Garamond" w:hAnsi="Garamond" w:cs="Arial"/>
          <w:sz w:val="24"/>
          <w:szCs w:val="24"/>
          <w:lang w:eastAsia="it-IT"/>
        </w:rPr>
        <w:t>€</w:t>
      </w:r>
      <w:r>
        <w:rPr>
          <w:rFonts w:ascii="Garamond" w:hAnsi="Garamond" w:cs="Arial"/>
          <w:sz w:val="24"/>
          <w:szCs w:val="24"/>
          <w:lang w:eastAsia="it-IT"/>
        </w:rPr>
        <w:t xml:space="preserve"> </w:t>
      </w:r>
      <w:r w:rsidRPr="008E1B70">
        <w:rPr>
          <w:rFonts w:ascii="Garamond" w:hAnsi="Garamond"/>
          <w:sz w:val="28"/>
          <w:szCs w:val="28"/>
        </w:rPr>
        <w:t>3</w:t>
      </w:r>
      <w:r>
        <w:rPr>
          <w:rFonts w:ascii="Garamond" w:hAnsi="Garamond"/>
          <w:sz w:val="28"/>
          <w:szCs w:val="28"/>
        </w:rPr>
        <w:t>.</w:t>
      </w:r>
      <w:r w:rsidRPr="008E1B70">
        <w:rPr>
          <w:rFonts w:ascii="Garamond" w:hAnsi="Garamond"/>
          <w:sz w:val="28"/>
          <w:szCs w:val="28"/>
        </w:rPr>
        <w:t>000</w:t>
      </w:r>
      <w:r>
        <w:rPr>
          <w:rFonts w:ascii="Garamond" w:hAnsi="Garamond"/>
          <w:sz w:val="28"/>
          <w:szCs w:val="28"/>
        </w:rPr>
        <w:t>,00</w:t>
      </w:r>
      <w:r w:rsidRPr="008E1B70">
        <w:rPr>
          <w:rFonts w:ascii="Garamond" w:hAnsi="Garamond"/>
          <w:sz w:val="28"/>
          <w:szCs w:val="28"/>
        </w:rPr>
        <w:t xml:space="preserve"> euro annuali. </w:t>
      </w:r>
    </w:p>
    <w:p w:rsidR="007D1244" w:rsidRPr="008E1B70" w:rsidRDefault="007D1244" w:rsidP="008E1B70">
      <w:pPr>
        <w:rPr>
          <w:rFonts w:ascii="Garamond" w:hAnsi="Garamond"/>
          <w:b/>
          <w:bCs/>
          <w:sz w:val="28"/>
          <w:szCs w:val="28"/>
        </w:rPr>
      </w:pPr>
      <w:r w:rsidRPr="00C41150">
        <w:rPr>
          <w:rFonts w:ascii="Garamond" w:hAnsi="Garamond"/>
          <w:b/>
          <w:bCs/>
          <w:sz w:val="28"/>
          <w:szCs w:val="28"/>
        </w:rPr>
        <w:t>ART. 10 DESTINAZIONE RISORSE FONDI CONTRATTUALI ( art. 66  comma 1 lett.a))</w:t>
      </w:r>
    </w:p>
    <w:p w:rsidR="007D1244" w:rsidRPr="008E1B70" w:rsidRDefault="007D1244" w:rsidP="005C02D6">
      <w:pPr>
        <w:jc w:val="both"/>
        <w:rPr>
          <w:rFonts w:ascii="Garamond" w:hAnsi="Garamond"/>
          <w:sz w:val="28"/>
          <w:szCs w:val="28"/>
        </w:rPr>
      </w:pPr>
      <w:r w:rsidRPr="008E1B70">
        <w:rPr>
          <w:rFonts w:ascii="Garamond" w:hAnsi="Garamond"/>
          <w:sz w:val="28"/>
          <w:szCs w:val="28"/>
        </w:rPr>
        <w:t>Per l’anno 2021 gli importi dei Fondi di cui all’allegato B del presente contratto sono così complessivamente indicati:</w:t>
      </w:r>
    </w:p>
    <w:p w:rsidR="007D1244" w:rsidRPr="008E1B70" w:rsidRDefault="007D1244" w:rsidP="00B956FD">
      <w:pPr>
        <w:jc w:val="both"/>
        <w:rPr>
          <w:rFonts w:ascii="Garamond" w:hAnsi="Garamond"/>
          <w:sz w:val="28"/>
          <w:szCs w:val="28"/>
        </w:rPr>
      </w:pPr>
      <w:r w:rsidRPr="008E1B70">
        <w:rPr>
          <w:rFonts w:ascii="Garamond" w:hAnsi="Garamond"/>
          <w:sz w:val="28"/>
          <w:szCs w:val="28"/>
        </w:rPr>
        <w:t xml:space="preserve">IMPORTO ANNO 2021 FONDO ART. 90    </w:t>
      </w:r>
      <w:r>
        <w:rPr>
          <w:rFonts w:ascii="Garamond" w:hAnsi="Garamond"/>
          <w:sz w:val="28"/>
          <w:szCs w:val="28"/>
        </w:rPr>
        <w:t xml:space="preserve">                 </w:t>
      </w:r>
      <w:r w:rsidRPr="008E1B70">
        <w:rPr>
          <w:rFonts w:ascii="Garamond" w:hAnsi="Garamond"/>
          <w:sz w:val="28"/>
          <w:szCs w:val="28"/>
        </w:rPr>
        <w:t xml:space="preserve">  €  1.664.394,23</w:t>
      </w:r>
    </w:p>
    <w:p w:rsidR="007D1244" w:rsidRPr="008E1B70" w:rsidRDefault="007D1244" w:rsidP="001D686D">
      <w:pPr>
        <w:jc w:val="both"/>
        <w:rPr>
          <w:rFonts w:ascii="Garamond" w:hAnsi="Garamond"/>
          <w:sz w:val="28"/>
          <w:szCs w:val="28"/>
        </w:rPr>
      </w:pPr>
      <w:r w:rsidRPr="008E1B70">
        <w:rPr>
          <w:rFonts w:ascii="Garamond" w:hAnsi="Garamond"/>
          <w:sz w:val="28"/>
          <w:szCs w:val="28"/>
        </w:rPr>
        <w:t xml:space="preserve">IMPORTO ANNO 2021 FONDO ART. 91     </w:t>
      </w:r>
      <w:r w:rsidRPr="001F1CA0">
        <w:rPr>
          <w:rFonts w:ascii="Garamond" w:hAnsi="Garamond"/>
          <w:sz w:val="28"/>
          <w:szCs w:val="28"/>
        </w:rPr>
        <w:t>€ 98.912,19 +  € 548.402,18=</w:t>
      </w:r>
      <w:r w:rsidRPr="001F1CA0">
        <w:rPr>
          <w:rFonts w:ascii="Garamond" w:hAnsi="Garamond" w:cs="TimesNewRomanPSMT"/>
          <w:sz w:val="28"/>
          <w:szCs w:val="28"/>
        </w:rPr>
        <w:t>647.314,37</w:t>
      </w:r>
    </w:p>
    <w:p w:rsidR="007D1244" w:rsidRPr="008E1B70" w:rsidRDefault="007D1244" w:rsidP="006E1094">
      <w:pPr>
        <w:jc w:val="both"/>
        <w:rPr>
          <w:rFonts w:ascii="Garamond" w:hAnsi="Garamond"/>
          <w:sz w:val="28"/>
          <w:szCs w:val="28"/>
        </w:rPr>
      </w:pPr>
      <w:r w:rsidRPr="008E1B70">
        <w:rPr>
          <w:rFonts w:ascii="Garamond" w:hAnsi="Garamond"/>
          <w:sz w:val="28"/>
          <w:szCs w:val="28"/>
        </w:rPr>
        <w:t xml:space="preserve">Le parti danno atto che alla data del </w:t>
      </w:r>
      <w:r>
        <w:rPr>
          <w:rFonts w:ascii="Garamond" w:hAnsi="Garamond"/>
          <w:sz w:val="28"/>
          <w:szCs w:val="28"/>
        </w:rPr>
        <w:t>17/10/2022</w:t>
      </w:r>
      <w:r w:rsidRPr="008E1B70">
        <w:rPr>
          <w:rFonts w:ascii="Garamond" w:hAnsi="Garamond"/>
          <w:sz w:val="28"/>
          <w:szCs w:val="28"/>
        </w:rPr>
        <w:t xml:space="preserve"> ci sono 9 dirigenti direttori di struttura </w:t>
      </w:r>
      <w:r>
        <w:rPr>
          <w:rFonts w:ascii="Garamond" w:hAnsi="Garamond"/>
          <w:sz w:val="28"/>
          <w:szCs w:val="28"/>
        </w:rPr>
        <w:t xml:space="preserve">complessa </w:t>
      </w:r>
      <w:r w:rsidRPr="008E1B70">
        <w:rPr>
          <w:rFonts w:ascii="Garamond" w:hAnsi="Garamond"/>
          <w:sz w:val="28"/>
          <w:szCs w:val="28"/>
        </w:rPr>
        <w:t xml:space="preserve">in posizione di aspettativa con diritto alla conservazione del posto che comportano il congelamento delle quote relative alla retribuzione di posizione e all’indennità di </w:t>
      </w:r>
      <w:r>
        <w:rPr>
          <w:rFonts w:ascii="Garamond" w:hAnsi="Garamond"/>
          <w:sz w:val="28"/>
          <w:szCs w:val="28"/>
        </w:rPr>
        <w:t>struttura complessa</w:t>
      </w:r>
      <w:r w:rsidRPr="008E1B70">
        <w:rPr>
          <w:rFonts w:ascii="Garamond" w:hAnsi="Garamond"/>
          <w:sz w:val="28"/>
          <w:szCs w:val="28"/>
        </w:rPr>
        <w:t xml:space="preserve"> pari ad euro</w:t>
      </w:r>
      <w:r>
        <w:rPr>
          <w:rFonts w:ascii="Garamond" w:hAnsi="Garamond"/>
          <w:sz w:val="28"/>
          <w:szCs w:val="28"/>
        </w:rPr>
        <w:t xml:space="preserve"> 266.562,00.            </w:t>
      </w:r>
      <w:r w:rsidRPr="008E1B70">
        <w:rPr>
          <w:rFonts w:ascii="Garamond" w:hAnsi="Garamond"/>
          <w:sz w:val="28"/>
          <w:szCs w:val="28"/>
        </w:rPr>
        <w:t xml:space="preserve"> </w:t>
      </w:r>
      <w:r>
        <w:rPr>
          <w:rFonts w:ascii="Garamond" w:hAnsi="Garamond"/>
          <w:sz w:val="28"/>
          <w:szCs w:val="28"/>
        </w:rPr>
        <w:t>.</w:t>
      </w:r>
    </w:p>
    <w:p w:rsidR="007D1244" w:rsidRPr="005906A7" w:rsidRDefault="007D1244" w:rsidP="005906A7">
      <w:pPr>
        <w:jc w:val="both"/>
        <w:rPr>
          <w:rFonts w:ascii="Garamond" w:hAnsi="Garamond"/>
          <w:sz w:val="28"/>
          <w:szCs w:val="28"/>
        </w:rPr>
      </w:pPr>
      <w:r w:rsidRPr="008E1B70">
        <w:rPr>
          <w:rFonts w:ascii="Garamond" w:hAnsi="Garamond"/>
          <w:sz w:val="28"/>
          <w:szCs w:val="28"/>
        </w:rPr>
        <w:t xml:space="preserve">Le parti reputano opportuno mantenere il </w:t>
      </w:r>
      <w:r>
        <w:rPr>
          <w:rFonts w:ascii="Garamond" w:hAnsi="Garamond"/>
          <w:sz w:val="28"/>
          <w:szCs w:val="28"/>
        </w:rPr>
        <w:t>35</w:t>
      </w:r>
      <w:r w:rsidRPr="008E1B70">
        <w:rPr>
          <w:rFonts w:ascii="Garamond" w:hAnsi="Garamond"/>
          <w:sz w:val="28"/>
          <w:szCs w:val="28"/>
        </w:rPr>
        <w:t xml:space="preserve">% delle risorse sovra indicate congelate e quindi assegnate al Fondo ma non disponibili, per un importo pari ad euro </w:t>
      </w:r>
      <w:r w:rsidRPr="005906A7">
        <w:rPr>
          <w:rFonts w:ascii="Garamond" w:hAnsi="Garamond"/>
          <w:sz w:val="28"/>
          <w:szCs w:val="28"/>
        </w:rPr>
        <w:t>93</w:t>
      </w:r>
      <w:r>
        <w:rPr>
          <w:rFonts w:ascii="Garamond" w:hAnsi="Garamond"/>
          <w:sz w:val="28"/>
          <w:szCs w:val="28"/>
        </w:rPr>
        <w:t>.</w:t>
      </w:r>
      <w:r w:rsidRPr="005906A7">
        <w:rPr>
          <w:rFonts w:ascii="Garamond" w:hAnsi="Garamond"/>
          <w:sz w:val="28"/>
          <w:szCs w:val="28"/>
        </w:rPr>
        <w:t>296,7</w:t>
      </w:r>
      <w:r>
        <w:rPr>
          <w:rFonts w:ascii="Garamond" w:hAnsi="Garamond"/>
          <w:sz w:val="28"/>
          <w:szCs w:val="28"/>
        </w:rPr>
        <w:t>.</w:t>
      </w:r>
    </w:p>
    <w:p w:rsidR="007D1244" w:rsidRPr="008E1B70" w:rsidRDefault="007D1244" w:rsidP="00F46C90">
      <w:pPr>
        <w:jc w:val="both"/>
        <w:rPr>
          <w:rFonts w:ascii="Garamond" w:hAnsi="Garamond"/>
          <w:sz w:val="28"/>
          <w:szCs w:val="28"/>
        </w:rPr>
      </w:pPr>
      <w:r w:rsidRPr="008E1B70">
        <w:rPr>
          <w:rFonts w:ascii="Garamond" w:hAnsi="Garamond"/>
          <w:sz w:val="28"/>
          <w:szCs w:val="28"/>
        </w:rPr>
        <w:t>Ai fini della nuova graduazione delle funzioni le parti concordano in applicazione dell’art. 90 del CCNL, la seguente graduazione :</w:t>
      </w:r>
    </w:p>
    <w:tbl>
      <w:tblPr>
        <w:tblW w:w="8465" w:type="dxa"/>
        <w:tblInd w:w="65" w:type="dxa"/>
        <w:tblCellMar>
          <w:left w:w="70" w:type="dxa"/>
          <w:right w:w="70" w:type="dxa"/>
        </w:tblCellMar>
        <w:tblLook w:val="0000"/>
      </w:tblPr>
      <w:tblGrid>
        <w:gridCol w:w="5"/>
        <w:gridCol w:w="1473"/>
        <w:gridCol w:w="7069"/>
      </w:tblGrid>
      <w:tr w:rsidR="007D1244" w:rsidRPr="008E1B70" w:rsidTr="006E1094">
        <w:trPr>
          <w:trHeight w:val="735"/>
        </w:trPr>
        <w:tc>
          <w:tcPr>
            <w:tcW w:w="8465" w:type="dxa"/>
            <w:gridSpan w:val="3"/>
            <w:tcBorders>
              <w:top w:val="single" w:sz="4" w:space="0" w:color="auto"/>
              <w:left w:val="single" w:sz="4" w:space="0" w:color="auto"/>
              <w:bottom w:val="single" w:sz="4" w:space="0" w:color="auto"/>
              <w:right w:val="single" w:sz="4" w:space="0" w:color="000000"/>
            </w:tcBorders>
            <w:shd w:val="clear" w:color="auto" w:fill="00CCFF"/>
            <w:vAlign w:val="center"/>
          </w:tcPr>
          <w:p w:rsidR="007D1244" w:rsidRPr="008E1B70" w:rsidRDefault="007D1244" w:rsidP="004C085B">
            <w:pPr>
              <w:spacing w:after="0" w:line="240" w:lineRule="auto"/>
              <w:jc w:val="center"/>
              <w:rPr>
                <w:rFonts w:ascii="Garamond" w:hAnsi="Garamond"/>
                <w:b/>
                <w:bCs/>
                <w:sz w:val="28"/>
                <w:szCs w:val="28"/>
                <w:lang w:eastAsia="it-IT"/>
              </w:rPr>
            </w:pPr>
            <w:r w:rsidRPr="008E1B70">
              <w:rPr>
                <w:rFonts w:ascii="Garamond" w:hAnsi="Garamond"/>
                <w:b/>
                <w:bCs/>
                <w:sz w:val="28"/>
                <w:szCs w:val="28"/>
                <w:lang w:eastAsia="it-IT"/>
              </w:rPr>
              <w:t>NUOVA GRADUAZIONE INCARICHI FUNZIONI LOCALI TPA</w:t>
            </w:r>
          </w:p>
        </w:tc>
      </w:tr>
      <w:tr w:rsidR="007D1244" w:rsidRPr="008E1B70" w:rsidTr="006E1094">
        <w:trPr>
          <w:trHeight w:val="255"/>
        </w:trPr>
        <w:tc>
          <w:tcPr>
            <w:tcW w:w="8465" w:type="dxa"/>
            <w:gridSpan w:val="3"/>
            <w:tcBorders>
              <w:top w:val="single" w:sz="4" w:space="0" w:color="auto"/>
              <w:left w:val="nil"/>
              <w:bottom w:val="single" w:sz="4" w:space="0" w:color="auto"/>
              <w:right w:val="nil"/>
            </w:tcBorders>
            <w:shd w:val="clear" w:color="auto" w:fill="FFFF00"/>
            <w:noWrap/>
            <w:vAlign w:val="bottom"/>
          </w:tcPr>
          <w:p w:rsidR="007D1244" w:rsidRPr="008E1B70" w:rsidRDefault="007D1244" w:rsidP="004C085B">
            <w:pPr>
              <w:spacing w:after="0" w:line="240" w:lineRule="auto"/>
              <w:jc w:val="center"/>
              <w:rPr>
                <w:rFonts w:ascii="Garamond" w:hAnsi="Garamond"/>
                <w:b/>
                <w:bCs/>
                <w:sz w:val="28"/>
                <w:szCs w:val="28"/>
                <w:lang w:eastAsia="it-IT"/>
              </w:rPr>
            </w:pPr>
            <w:r w:rsidRPr="008E1B70">
              <w:rPr>
                <w:rFonts w:ascii="Garamond" w:hAnsi="Garamond"/>
                <w:b/>
                <w:bCs/>
                <w:sz w:val="28"/>
                <w:szCs w:val="28"/>
                <w:lang w:eastAsia="it-IT"/>
              </w:rPr>
              <w:t>DIRIGENTE INCARICO UOC</w:t>
            </w:r>
          </w:p>
        </w:tc>
      </w:tr>
      <w:tr w:rsidR="007D1244" w:rsidRPr="008E1B70" w:rsidTr="006E1094">
        <w:trPr>
          <w:gridBefore w:val="1"/>
          <w:trHeight w:val="255"/>
        </w:trPr>
        <w:tc>
          <w:tcPr>
            <w:tcW w:w="1396" w:type="dxa"/>
            <w:tcBorders>
              <w:top w:val="nil"/>
              <w:left w:val="single" w:sz="4" w:space="0" w:color="auto"/>
              <w:bottom w:val="single" w:sz="4" w:space="0" w:color="auto"/>
              <w:right w:val="single" w:sz="4" w:space="0" w:color="auto"/>
            </w:tcBorders>
            <w:noWrap/>
            <w:vAlign w:val="bottom"/>
          </w:tcPr>
          <w:p w:rsidR="007D1244" w:rsidRPr="008E1B70" w:rsidRDefault="007D1244" w:rsidP="004C085B">
            <w:pPr>
              <w:spacing w:after="0" w:line="240" w:lineRule="auto"/>
              <w:rPr>
                <w:rFonts w:ascii="Garamond" w:hAnsi="Garamond"/>
                <w:sz w:val="28"/>
                <w:szCs w:val="28"/>
                <w:lang w:eastAsia="it-IT"/>
              </w:rPr>
            </w:pPr>
            <w:r w:rsidRPr="008E1B70">
              <w:rPr>
                <w:rFonts w:ascii="Garamond" w:hAnsi="Garamond"/>
                <w:sz w:val="28"/>
                <w:szCs w:val="28"/>
                <w:lang w:eastAsia="it-IT"/>
              </w:rPr>
              <w:t>LIVELLO 1</w:t>
            </w:r>
          </w:p>
        </w:tc>
        <w:tc>
          <w:tcPr>
            <w:tcW w:w="7069" w:type="dxa"/>
            <w:tcBorders>
              <w:top w:val="nil"/>
              <w:left w:val="nil"/>
              <w:bottom w:val="single" w:sz="4" w:space="0" w:color="auto"/>
              <w:right w:val="single" w:sz="4" w:space="0" w:color="auto"/>
            </w:tcBorders>
            <w:noWrap/>
            <w:vAlign w:val="bottom"/>
          </w:tcPr>
          <w:p w:rsidR="007D1244" w:rsidRPr="008E1B70" w:rsidRDefault="007D1244" w:rsidP="004C085B">
            <w:pPr>
              <w:spacing w:after="0" w:line="240" w:lineRule="auto"/>
              <w:rPr>
                <w:rFonts w:ascii="Garamond" w:hAnsi="Garamond"/>
                <w:sz w:val="28"/>
                <w:szCs w:val="28"/>
                <w:lang w:eastAsia="it-IT"/>
              </w:rPr>
            </w:pPr>
            <w:r w:rsidRPr="008E1B70">
              <w:rPr>
                <w:rFonts w:ascii="Garamond" w:hAnsi="Garamond"/>
                <w:sz w:val="28"/>
                <w:szCs w:val="28"/>
                <w:lang w:eastAsia="it-IT"/>
              </w:rPr>
              <w:t xml:space="preserve">                                                                 18.000,00 </w:t>
            </w:r>
          </w:p>
        </w:tc>
      </w:tr>
      <w:tr w:rsidR="007D1244" w:rsidRPr="008E1B70" w:rsidTr="006E1094">
        <w:trPr>
          <w:gridBefore w:val="1"/>
          <w:trHeight w:val="255"/>
        </w:trPr>
        <w:tc>
          <w:tcPr>
            <w:tcW w:w="1396" w:type="dxa"/>
            <w:tcBorders>
              <w:top w:val="nil"/>
              <w:left w:val="single" w:sz="4" w:space="0" w:color="auto"/>
              <w:bottom w:val="single" w:sz="4" w:space="0" w:color="auto"/>
              <w:right w:val="single" w:sz="4" w:space="0" w:color="auto"/>
            </w:tcBorders>
            <w:noWrap/>
            <w:vAlign w:val="bottom"/>
          </w:tcPr>
          <w:p w:rsidR="007D1244" w:rsidRPr="008E1B70" w:rsidRDefault="007D1244" w:rsidP="004C085B">
            <w:pPr>
              <w:spacing w:after="0" w:line="240" w:lineRule="auto"/>
              <w:rPr>
                <w:rFonts w:ascii="Garamond" w:hAnsi="Garamond"/>
                <w:sz w:val="28"/>
                <w:szCs w:val="28"/>
                <w:lang w:eastAsia="it-IT"/>
              </w:rPr>
            </w:pPr>
            <w:r w:rsidRPr="008E1B70">
              <w:rPr>
                <w:rFonts w:ascii="Garamond" w:hAnsi="Garamond"/>
                <w:sz w:val="28"/>
                <w:szCs w:val="28"/>
                <w:lang w:eastAsia="it-IT"/>
              </w:rPr>
              <w:t>LIVELLO 2</w:t>
            </w:r>
          </w:p>
        </w:tc>
        <w:tc>
          <w:tcPr>
            <w:tcW w:w="7069" w:type="dxa"/>
            <w:tcBorders>
              <w:top w:val="nil"/>
              <w:left w:val="nil"/>
              <w:bottom w:val="single" w:sz="4" w:space="0" w:color="auto"/>
              <w:right w:val="single" w:sz="4" w:space="0" w:color="auto"/>
            </w:tcBorders>
            <w:noWrap/>
            <w:vAlign w:val="bottom"/>
          </w:tcPr>
          <w:p w:rsidR="007D1244" w:rsidRPr="008E1B70" w:rsidRDefault="007D1244" w:rsidP="004C085B">
            <w:pPr>
              <w:spacing w:after="0" w:line="240" w:lineRule="auto"/>
              <w:rPr>
                <w:rFonts w:ascii="Garamond" w:hAnsi="Garamond"/>
                <w:sz w:val="28"/>
                <w:szCs w:val="28"/>
                <w:lang w:eastAsia="it-IT"/>
              </w:rPr>
            </w:pPr>
            <w:r w:rsidRPr="008E1B70">
              <w:rPr>
                <w:rFonts w:ascii="Garamond" w:hAnsi="Garamond"/>
                <w:sz w:val="28"/>
                <w:szCs w:val="28"/>
                <w:lang w:eastAsia="it-IT"/>
              </w:rPr>
              <w:t xml:space="preserve">                                                                 18.</w:t>
            </w:r>
            <w:r>
              <w:rPr>
                <w:rFonts w:ascii="Garamond" w:hAnsi="Garamond"/>
                <w:sz w:val="28"/>
                <w:szCs w:val="28"/>
                <w:lang w:eastAsia="it-IT"/>
              </w:rPr>
              <w:t>5</w:t>
            </w:r>
            <w:r w:rsidRPr="008E1B70">
              <w:rPr>
                <w:rFonts w:ascii="Garamond" w:hAnsi="Garamond"/>
                <w:sz w:val="28"/>
                <w:szCs w:val="28"/>
                <w:lang w:eastAsia="it-IT"/>
              </w:rPr>
              <w:t xml:space="preserve">00,00 </w:t>
            </w:r>
          </w:p>
        </w:tc>
      </w:tr>
      <w:tr w:rsidR="007D1244" w:rsidRPr="008E1B70" w:rsidTr="006E1094">
        <w:trPr>
          <w:gridBefore w:val="1"/>
          <w:trHeight w:val="255"/>
        </w:trPr>
        <w:tc>
          <w:tcPr>
            <w:tcW w:w="1396" w:type="dxa"/>
            <w:tcBorders>
              <w:top w:val="nil"/>
              <w:left w:val="single" w:sz="4" w:space="0" w:color="auto"/>
              <w:bottom w:val="single" w:sz="4" w:space="0" w:color="auto"/>
              <w:right w:val="single" w:sz="4" w:space="0" w:color="auto"/>
            </w:tcBorders>
            <w:noWrap/>
            <w:vAlign w:val="bottom"/>
          </w:tcPr>
          <w:p w:rsidR="007D1244" w:rsidRPr="008E1B70" w:rsidRDefault="007D1244" w:rsidP="004C085B">
            <w:pPr>
              <w:spacing w:after="0" w:line="240" w:lineRule="auto"/>
              <w:rPr>
                <w:rFonts w:ascii="Garamond" w:hAnsi="Garamond"/>
                <w:sz w:val="28"/>
                <w:szCs w:val="28"/>
                <w:lang w:eastAsia="it-IT"/>
              </w:rPr>
            </w:pPr>
            <w:r w:rsidRPr="008E1B70">
              <w:rPr>
                <w:rFonts w:ascii="Garamond" w:hAnsi="Garamond"/>
                <w:sz w:val="28"/>
                <w:szCs w:val="28"/>
                <w:lang w:eastAsia="it-IT"/>
              </w:rPr>
              <w:t>LIVELLO 3</w:t>
            </w:r>
          </w:p>
        </w:tc>
        <w:tc>
          <w:tcPr>
            <w:tcW w:w="7069" w:type="dxa"/>
            <w:tcBorders>
              <w:top w:val="nil"/>
              <w:left w:val="nil"/>
              <w:bottom w:val="single" w:sz="4" w:space="0" w:color="auto"/>
              <w:right w:val="single" w:sz="4" w:space="0" w:color="auto"/>
            </w:tcBorders>
            <w:noWrap/>
            <w:vAlign w:val="bottom"/>
          </w:tcPr>
          <w:p w:rsidR="007D1244" w:rsidRPr="008E1B70" w:rsidRDefault="007D1244" w:rsidP="004C085B">
            <w:pPr>
              <w:spacing w:after="0" w:line="240" w:lineRule="auto"/>
              <w:rPr>
                <w:rFonts w:ascii="Garamond" w:hAnsi="Garamond"/>
                <w:sz w:val="28"/>
                <w:szCs w:val="28"/>
                <w:lang w:eastAsia="it-IT"/>
              </w:rPr>
            </w:pPr>
            <w:r w:rsidRPr="008E1B70">
              <w:rPr>
                <w:rFonts w:ascii="Garamond" w:hAnsi="Garamond"/>
                <w:sz w:val="28"/>
                <w:szCs w:val="28"/>
                <w:lang w:eastAsia="it-IT"/>
              </w:rPr>
              <w:t xml:space="preserve">                                                                 19.400,00 </w:t>
            </w:r>
          </w:p>
        </w:tc>
      </w:tr>
      <w:tr w:rsidR="007D1244" w:rsidRPr="008E1B70" w:rsidTr="006E1094">
        <w:trPr>
          <w:gridBefore w:val="1"/>
          <w:trHeight w:val="255"/>
        </w:trPr>
        <w:tc>
          <w:tcPr>
            <w:tcW w:w="1396" w:type="dxa"/>
            <w:tcBorders>
              <w:top w:val="nil"/>
              <w:left w:val="single" w:sz="4" w:space="0" w:color="auto"/>
              <w:bottom w:val="single" w:sz="4" w:space="0" w:color="auto"/>
              <w:right w:val="single" w:sz="4" w:space="0" w:color="auto"/>
            </w:tcBorders>
            <w:noWrap/>
            <w:vAlign w:val="bottom"/>
          </w:tcPr>
          <w:p w:rsidR="007D1244" w:rsidRPr="008E1B70" w:rsidRDefault="007D1244" w:rsidP="004C085B">
            <w:pPr>
              <w:spacing w:after="0" w:line="240" w:lineRule="auto"/>
              <w:rPr>
                <w:rFonts w:ascii="Garamond" w:hAnsi="Garamond"/>
                <w:sz w:val="28"/>
                <w:szCs w:val="28"/>
                <w:lang w:eastAsia="it-IT"/>
              </w:rPr>
            </w:pPr>
            <w:r w:rsidRPr="008E1B70">
              <w:rPr>
                <w:rFonts w:ascii="Garamond" w:hAnsi="Garamond"/>
                <w:sz w:val="28"/>
                <w:szCs w:val="28"/>
                <w:lang w:eastAsia="it-IT"/>
              </w:rPr>
              <w:t>LIVELLO 4</w:t>
            </w:r>
          </w:p>
        </w:tc>
        <w:tc>
          <w:tcPr>
            <w:tcW w:w="7069" w:type="dxa"/>
            <w:tcBorders>
              <w:top w:val="nil"/>
              <w:left w:val="nil"/>
              <w:bottom w:val="single" w:sz="4" w:space="0" w:color="auto"/>
              <w:right w:val="single" w:sz="4" w:space="0" w:color="auto"/>
            </w:tcBorders>
            <w:noWrap/>
            <w:vAlign w:val="bottom"/>
          </w:tcPr>
          <w:p w:rsidR="007D1244" w:rsidRPr="008E1B70" w:rsidRDefault="007D1244" w:rsidP="004C085B">
            <w:pPr>
              <w:spacing w:after="0" w:line="240" w:lineRule="auto"/>
              <w:rPr>
                <w:rFonts w:ascii="Garamond" w:hAnsi="Garamond"/>
                <w:sz w:val="28"/>
                <w:szCs w:val="28"/>
                <w:lang w:eastAsia="it-IT"/>
              </w:rPr>
            </w:pPr>
            <w:r w:rsidRPr="008E1B70">
              <w:rPr>
                <w:rFonts w:ascii="Garamond" w:hAnsi="Garamond"/>
                <w:sz w:val="28"/>
                <w:szCs w:val="28"/>
                <w:lang w:eastAsia="it-IT"/>
              </w:rPr>
              <w:t xml:space="preserve">                                                                 20.</w:t>
            </w:r>
            <w:r>
              <w:rPr>
                <w:rFonts w:ascii="Garamond" w:hAnsi="Garamond"/>
                <w:sz w:val="28"/>
                <w:szCs w:val="28"/>
                <w:lang w:eastAsia="it-IT"/>
              </w:rPr>
              <w:t>1</w:t>
            </w:r>
            <w:r w:rsidRPr="008E1B70">
              <w:rPr>
                <w:rFonts w:ascii="Garamond" w:hAnsi="Garamond"/>
                <w:sz w:val="28"/>
                <w:szCs w:val="28"/>
                <w:lang w:eastAsia="it-IT"/>
              </w:rPr>
              <w:t xml:space="preserve">00,00 </w:t>
            </w:r>
          </w:p>
        </w:tc>
      </w:tr>
      <w:tr w:rsidR="007D1244" w:rsidRPr="008E1B70" w:rsidTr="006E1094">
        <w:trPr>
          <w:gridBefore w:val="1"/>
          <w:trHeight w:val="255"/>
        </w:trPr>
        <w:tc>
          <w:tcPr>
            <w:tcW w:w="1396" w:type="dxa"/>
            <w:tcBorders>
              <w:top w:val="nil"/>
              <w:left w:val="single" w:sz="4" w:space="0" w:color="auto"/>
              <w:bottom w:val="single" w:sz="4" w:space="0" w:color="auto"/>
              <w:right w:val="single" w:sz="4" w:space="0" w:color="auto"/>
            </w:tcBorders>
            <w:noWrap/>
            <w:vAlign w:val="bottom"/>
          </w:tcPr>
          <w:p w:rsidR="007D1244" w:rsidRPr="008E1B70" w:rsidRDefault="007D1244" w:rsidP="004C085B">
            <w:pPr>
              <w:spacing w:after="0" w:line="240" w:lineRule="auto"/>
              <w:rPr>
                <w:rFonts w:ascii="Garamond" w:hAnsi="Garamond"/>
                <w:sz w:val="28"/>
                <w:szCs w:val="28"/>
                <w:lang w:eastAsia="it-IT"/>
              </w:rPr>
            </w:pPr>
            <w:r w:rsidRPr="008E1B70">
              <w:rPr>
                <w:rFonts w:ascii="Garamond" w:hAnsi="Garamond"/>
                <w:sz w:val="28"/>
                <w:szCs w:val="28"/>
                <w:lang w:eastAsia="it-IT"/>
              </w:rPr>
              <w:t>LIVELLO 5</w:t>
            </w:r>
          </w:p>
        </w:tc>
        <w:tc>
          <w:tcPr>
            <w:tcW w:w="7069" w:type="dxa"/>
            <w:tcBorders>
              <w:top w:val="nil"/>
              <w:left w:val="nil"/>
              <w:bottom w:val="single" w:sz="4" w:space="0" w:color="auto"/>
              <w:right w:val="single" w:sz="4" w:space="0" w:color="auto"/>
            </w:tcBorders>
            <w:noWrap/>
            <w:vAlign w:val="bottom"/>
          </w:tcPr>
          <w:p w:rsidR="007D1244" w:rsidRPr="008E1B70" w:rsidRDefault="007D1244" w:rsidP="004C085B">
            <w:pPr>
              <w:spacing w:after="0" w:line="240" w:lineRule="auto"/>
              <w:rPr>
                <w:rFonts w:ascii="Garamond" w:hAnsi="Garamond"/>
                <w:sz w:val="28"/>
                <w:szCs w:val="28"/>
                <w:lang w:eastAsia="it-IT"/>
              </w:rPr>
            </w:pPr>
            <w:r w:rsidRPr="008E1B70">
              <w:rPr>
                <w:rFonts w:ascii="Garamond" w:hAnsi="Garamond"/>
                <w:sz w:val="28"/>
                <w:szCs w:val="28"/>
                <w:lang w:eastAsia="it-IT"/>
              </w:rPr>
              <w:t xml:space="preserve">                                                                 22.700,00 </w:t>
            </w:r>
          </w:p>
        </w:tc>
      </w:tr>
      <w:tr w:rsidR="007D1244" w:rsidRPr="008E1B70" w:rsidTr="006E1094">
        <w:trPr>
          <w:gridBefore w:val="1"/>
          <w:trHeight w:val="255"/>
        </w:trPr>
        <w:tc>
          <w:tcPr>
            <w:tcW w:w="1396" w:type="dxa"/>
            <w:tcBorders>
              <w:top w:val="nil"/>
              <w:left w:val="nil"/>
              <w:bottom w:val="nil"/>
              <w:right w:val="nil"/>
            </w:tcBorders>
            <w:noWrap/>
            <w:vAlign w:val="bottom"/>
          </w:tcPr>
          <w:p w:rsidR="007D1244" w:rsidRPr="008E1B70" w:rsidRDefault="007D1244" w:rsidP="004C085B">
            <w:pPr>
              <w:spacing w:after="0" w:line="240" w:lineRule="auto"/>
              <w:rPr>
                <w:rFonts w:ascii="Garamond" w:hAnsi="Garamond"/>
                <w:sz w:val="28"/>
                <w:szCs w:val="28"/>
                <w:lang w:eastAsia="it-IT"/>
              </w:rPr>
            </w:pPr>
          </w:p>
        </w:tc>
        <w:tc>
          <w:tcPr>
            <w:tcW w:w="7069" w:type="dxa"/>
            <w:tcBorders>
              <w:top w:val="nil"/>
              <w:left w:val="nil"/>
              <w:bottom w:val="nil"/>
              <w:right w:val="nil"/>
            </w:tcBorders>
            <w:noWrap/>
            <w:vAlign w:val="bottom"/>
          </w:tcPr>
          <w:p w:rsidR="007D1244" w:rsidRPr="008E1B70" w:rsidRDefault="007D1244" w:rsidP="004C085B">
            <w:pPr>
              <w:spacing w:after="0" w:line="240" w:lineRule="auto"/>
              <w:rPr>
                <w:rFonts w:ascii="Garamond" w:hAnsi="Garamond"/>
                <w:sz w:val="28"/>
                <w:szCs w:val="28"/>
                <w:lang w:eastAsia="it-IT"/>
              </w:rPr>
            </w:pPr>
          </w:p>
        </w:tc>
      </w:tr>
      <w:tr w:rsidR="007D1244" w:rsidRPr="008E1B70" w:rsidTr="006E1094">
        <w:trPr>
          <w:gridBefore w:val="1"/>
          <w:trHeight w:val="255"/>
        </w:trPr>
        <w:tc>
          <w:tcPr>
            <w:tcW w:w="8465" w:type="dxa"/>
            <w:gridSpan w:val="2"/>
            <w:tcBorders>
              <w:top w:val="nil"/>
              <w:left w:val="nil"/>
              <w:bottom w:val="single" w:sz="4" w:space="0" w:color="auto"/>
              <w:right w:val="nil"/>
            </w:tcBorders>
            <w:shd w:val="clear" w:color="auto" w:fill="FFFF00"/>
            <w:noWrap/>
            <w:vAlign w:val="bottom"/>
          </w:tcPr>
          <w:p w:rsidR="007D1244" w:rsidRPr="008E1B70" w:rsidRDefault="007D1244" w:rsidP="004C085B">
            <w:pPr>
              <w:spacing w:after="0" w:line="240" w:lineRule="auto"/>
              <w:jc w:val="center"/>
              <w:rPr>
                <w:rFonts w:ascii="Garamond" w:hAnsi="Garamond"/>
                <w:b/>
                <w:bCs/>
                <w:sz w:val="28"/>
                <w:szCs w:val="28"/>
                <w:lang w:eastAsia="it-IT"/>
              </w:rPr>
            </w:pPr>
            <w:r w:rsidRPr="008E1B70">
              <w:rPr>
                <w:rFonts w:ascii="Garamond" w:hAnsi="Garamond"/>
                <w:b/>
                <w:bCs/>
                <w:sz w:val="28"/>
                <w:szCs w:val="28"/>
                <w:lang w:eastAsia="it-IT"/>
              </w:rPr>
              <w:t>DIRIGENTI INCARICHI UOS/UOSD</w:t>
            </w:r>
          </w:p>
        </w:tc>
      </w:tr>
      <w:tr w:rsidR="007D1244" w:rsidRPr="008E1B70" w:rsidTr="006E1094">
        <w:trPr>
          <w:gridBefore w:val="1"/>
          <w:trHeight w:val="255"/>
        </w:trPr>
        <w:tc>
          <w:tcPr>
            <w:tcW w:w="1396" w:type="dxa"/>
            <w:tcBorders>
              <w:top w:val="nil"/>
              <w:left w:val="single" w:sz="4" w:space="0" w:color="auto"/>
              <w:bottom w:val="single" w:sz="4" w:space="0" w:color="auto"/>
              <w:right w:val="single" w:sz="4" w:space="0" w:color="auto"/>
            </w:tcBorders>
            <w:noWrap/>
            <w:vAlign w:val="bottom"/>
          </w:tcPr>
          <w:p w:rsidR="007D1244" w:rsidRDefault="007D1244" w:rsidP="006E1094">
            <w:pPr>
              <w:spacing w:after="0" w:line="240" w:lineRule="auto"/>
              <w:rPr>
                <w:rFonts w:ascii="Garamond" w:hAnsi="Garamond"/>
                <w:sz w:val="28"/>
                <w:szCs w:val="28"/>
                <w:lang w:eastAsia="it-IT"/>
              </w:rPr>
            </w:pPr>
            <w:r w:rsidRPr="008E1B70">
              <w:rPr>
                <w:rFonts w:ascii="Garamond" w:hAnsi="Garamond"/>
                <w:sz w:val="28"/>
                <w:szCs w:val="28"/>
                <w:lang w:eastAsia="it-IT"/>
              </w:rPr>
              <w:t>LIVELLO 1</w:t>
            </w:r>
          </w:p>
          <w:p w:rsidR="007D1244" w:rsidRPr="008E1B70" w:rsidRDefault="007D1244" w:rsidP="006E1094">
            <w:pPr>
              <w:spacing w:after="0" w:line="240" w:lineRule="auto"/>
              <w:rPr>
                <w:rFonts w:ascii="Garamond" w:hAnsi="Garamond"/>
                <w:sz w:val="28"/>
                <w:szCs w:val="28"/>
                <w:lang w:eastAsia="it-IT"/>
              </w:rPr>
            </w:pPr>
          </w:p>
        </w:tc>
        <w:tc>
          <w:tcPr>
            <w:tcW w:w="7069" w:type="dxa"/>
            <w:tcBorders>
              <w:top w:val="nil"/>
              <w:left w:val="nil"/>
              <w:bottom w:val="single" w:sz="4" w:space="0" w:color="auto"/>
              <w:right w:val="single" w:sz="4" w:space="0" w:color="auto"/>
            </w:tcBorders>
            <w:noWrap/>
            <w:vAlign w:val="bottom"/>
          </w:tcPr>
          <w:p w:rsidR="007D1244" w:rsidRDefault="007D1244" w:rsidP="006E1094">
            <w:pPr>
              <w:spacing w:after="0" w:line="240" w:lineRule="auto"/>
              <w:rPr>
                <w:rFonts w:ascii="Garamond" w:hAnsi="Garamond"/>
                <w:sz w:val="28"/>
                <w:szCs w:val="28"/>
                <w:lang w:eastAsia="it-IT"/>
              </w:rPr>
            </w:pPr>
          </w:p>
          <w:p w:rsidR="007D1244" w:rsidRDefault="007D1244" w:rsidP="006E1094">
            <w:pPr>
              <w:spacing w:after="0" w:line="240" w:lineRule="auto"/>
              <w:rPr>
                <w:rFonts w:ascii="Garamond" w:hAnsi="Garamond"/>
                <w:sz w:val="28"/>
                <w:szCs w:val="28"/>
                <w:lang w:eastAsia="it-IT"/>
              </w:rPr>
            </w:pPr>
            <w:r>
              <w:rPr>
                <w:rFonts w:ascii="Garamond" w:hAnsi="Garamond"/>
                <w:sz w:val="28"/>
                <w:szCs w:val="28"/>
                <w:lang w:eastAsia="it-IT"/>
              </w:rPr>
              <w:t xml:space="preserve">                                                                   11.500,00</w:t>
            </w:r>
          </w:p>
          <w:p w:rsidR="007D1244" w:rsidRPr="008E1B70" w:rsidRDefault="007D1244" w:rsidP="004C085B">
            <w:pPr>
              <w:spacing w:after="0" w:line="240" w:lineRule="auto"/>
              <w:rPr>
                <w:rFonts w:ascii="Garamond" w:hAnsi="Garamond"/>
                <w:sz w:val="28"/>
                <w:szCs w:val="28"/>
                <w:lang w:eastAsia="it-IT"/>
              </w:rPr>
            </w:pPr>
          </w:p>
        </w:tc>
      </w:tr>
      <w:tr w:rsidR="007D1244" w:rsidRPr="008E1B70" w:rsidTr="006E1094">
        <w:trPr>
          <w:gridBefore w:val="1"/>
          <w:trHeight w:val="255"/>
        </w:trPr>
        <w:tc>
          <w:tcPr>
            <w:tcW w:w="1396" w:type="dxa"/>
            <w:tcBorders>
              <w:top w:val="nil"/>
              <w:left w:val="single" w:sz="4" w:space="0" w:color="auto"/>
              <w:bottom w:val="single" w:sz="4" w:space="0" w:color="auto"/>
              <w:right w:val="single" w:sz="4" w:space="0" w:color="auto"/>
            </w:tcBorders>
            <w:noWrap/>
            <w:vAlign w:val="bottom"/>
          </w:tcPr>
          <w:p w:rsidR="007D1244" w:rsidRDefault="007D1244" w:rsidP="004C085B">
            <w:pPr>
              <w:spacing w:after="0" w:line="240" w:lineRule="auto"/>
              <w:rPr>
                <w:rFonts w:ascii="Garamond" w:hAnsi="Garamond"/>
                <w:sz w:val="28"/>
                <w:szCs w:val="28"/>
                <w:lang w:eastAsia="it-IT"/>
              </w:rPr>
            </w:pPr>
            <w:r>
              <w:rPr>
                <w:rFonts w:ascii="Garamond" w:hAnsi="Garamond"/>
                <w:sz w:val="28"/>
                <w:szCs w:val="28"/>
                <w:lang w:eastAsia="it-IT"/>
              </w:rPr>
              <w:t>LIVELLO</w:t>
            </w:r>
          </w:p>
          <w:p w:rsidR="007D1244" w:rsidRPr="008E1B70" w:rsidRDefault="007D1244" w:rsidP="004C085B">
            <w:pPr>
              <w:spacing w:after="0" w:line="240" w:lineRule="auto"/>
              <w:rPr>
                <w:rFonts w:ascii="Garamond" w:hAnsi="Garamond"/>
                <w:sz w:val="28"/>
                <w:szCs w:val="28"/>
                <w:lang w:eastAsia="it-IT"/>
              </w:rPr>
            </w:pPr>
            <w:r>
              <w:rPr>
                <w:rFonts w:ascii="Garamond" w:hAnsi="Garamond"/>
                <w:sz w:val="28"/>
                <w:szCs w:val="28"/>
                <w:lang w:eastAsia="it-IT"/>
              </w:rPr>
              <w:t xml:space="preserve">2 </w:t>
            </w:r>
          </w:p>
        </w:tc>
        <w:tc>
          <w:tcPr>
            <w:tcW w:w="7069" w:type="dxa"/>
            <w:tcBorders>
              <w:top w:val="nil"/>
              <w:left w:val="nil"/>
              <w:bottom w:val="single" w:sz="4" w:space="0" w:color="auto"/>
              <w:right w:val="single" w:sz="4" w:space="0" w:color="auto"/>
            </w:tcBorders>
            <w:noWrap/>
            <w:vAlign w:val="bottom"/>
          </w:tcPr>
          <w:p w:rsidR="007D1244" w:rsidRDefault="007D1244" w:rsidP="006E1094">
            <w:pPr>
              <w:spacing w:after="0" w:line="240" w:lineRule="auto"/>
              <w:jc w:val="both"/>
              <w:rPr>
                <w:rFonts w:ascii="Garamond" w:hAnsi="Garamond"/>
                <w:sz w:val="28"/>
                <w:szCs w:val="28"/>
                <w:lang w:eastAsia="it-IT"/>
              </w:rPr>
            </w:pPr>
            <w:r w:rsidRPr="008E1B70">
              <w:rPr>
                <w:rFonts w:ascii="Garamond" w:hAnsi="Garamond"/>
                <w:sz w:val="28"/>
                <w:szCs w:val="28"/>
                <w:lang w:eastAsia="it-IT"/>
              </w:rPr>
              <w:t xml:space="preserve"> </w:t>
            </w:r>
            <w:r>
              <w:rPr>
                <w:rFonts w:ascii="Garamond" w:hAnsi="Garamond"/>
                <w:sz w:val="28"/>
                <w:szCs w:val="28"/>
                <w:lang w:eastAsia="it-IT"/>
              </w:rPr>
              <w:t xml:space="preserve">                                                                   12.850,00</w:t>
            </w:r>
          </w:p>
          <w:p w:rsidR="007D1244" w:rsidRDefault="007D1244" w:rsidP="006E1094">
            <w:pPr>
              <w:spacing w:after="0" w:line="240" w:lineRule="auto"/>
              <w:jc w:val="both"/>
              <w:rPr>
                <w:rFonts w:ascii="Garamond" w:hAnsi="Garamond"/>
                <w:sz w:val="28"/>
                <w:szCs w:val="28"/>
                <w:lang w:eastAsia="it-IT"/>
              </w:rPr>
            </w:pPr>
          </w:p>
          <w:p w:rsidR="007D1244" w:rsidRPr="008E1B70" w:rsidRDefault="007D1244" w:rsidP="004C085B">
            <w:pPr>
              <w:spacing w:after="0" w:line="240" w:lineRule="auto"/>
              <w:rPr>
                <w:rFonts w:ascii="Garamond" w:hAnsi="Garamond"/>
                <w:sz w:val="28"/>
                <w:szCs w:val="28"/>
                <w:lang w:eastAsia="it-IT"/>
              </w:rPr>
            </w:pPr>
            <w:r w:rsidRPr="008E1B70">
              <w:rPr>
                <w:rFonts w:ascii="Garamond" w:hAnsi="Garamond"/>
                <w:sz w:val="28"/>
                <w:szCs w:val="28"/>
                <w:lang w:eastAsia="it-IT"/>
              </w:rPr>
              <w:t xml:space="preserve"> </w:t>
            </w:r>
          </w:p>
        </w:tc>
      </w:tr>
      <w:tr w:rsidR="007D1244" w:rsidRPr="008E1B70" w:rsidTr="006E1094">
        <w:trPr>
          <w:gridBefore w:val="1"/>
          <w:trHeight w:val="255"/>
        </w:trPr>
        <w:tc>
          <w:tcPr>
            <w:tcW w:w="1396" w:type="dxa"/>
            <w:tcBorders>
              <w:top w:val="nil"/>
              <w:left w:val="single" w:sz="4" w:space="0" w:color="auto"/>
              <w:bottom w:val="single" w:sz="4" w:space="0" w:color="auto"/>
              <w:right w:val="single" w:sz="4" w:space="0" w:color="auto"/>
            </w:tcBorders>
            <w:noWrap/>
            <w:vAlign w:val="bottom"/>
          </w:tcPr>
          <w:p w:rsidR="007D1244" w:rsidRPr="008E1B70" w:rsidRDefault="007D1244" w:rsidP="00350999">
            <w:pPr>
              <w:spacing w:after="0" w:line="240" w:lineRule="auto"/>
              <w:rPr>
                <w:rFonts w:ascii="Garamond" w:hAnsi="Garamond"/>
                <w:sz w:val="28"/>
                <w:szCs w:val="28"/>
                <w:lang w:eastAsia="it-IT"/>
              </w:rPr>
            </w:pPr>
            <w:r w:rsidRPr="008E1B70">
              <w:rPr>
                <w:rFonts w:ascii="Garamond" w:hAnsi="Garamond"/>
                <w:sz w:val="28"/>
                <w:szCs w:val="28"/>
                <w:lang w:eastAsia="it-IT"/>
              </w:rPr>
              <w:t xml:space="preserve">LIVELLO </w:t>
            </w:r>
            <w:r>
              <w:rPr>
                <w:rFonts w:ascii="Garamond" w:hAnsi="Garamond"/>
                <w:sz w:val="28"/>
                <w:szCs w:val="28"/>
                <w:lang w:eastAsia="it-IT"/>
              </w:rPr>
              <w:t>3</w:t>
            </w:r>
          </w:p>
        </w:tc>
        <w:tc>
          <w:tcPr>
            <w:tcW w:w="7069" w:type="dxa"/>
            <w:tcBorders>
              <w:top w:val="nil"/>
              <w:left w:val="nil"/>
              <w:bottom w:val="single" w:sz="4" w:space="0" w:color="auto"/>
              <w:right w:val="single" w:sz="4" w:space="0" w:color="auto"/>
            </w:tcBorders>
            <w:noWrap/>
            <w:vAlign w:val="bottom"/>
          </w:tcPr>
          <w:p w:rsidR="007D1244" w:rsidRPr="008E1B70" w:rsidRDefault="007D1244" w:rsidP="004C085B">
            <w:pPr>
              <w:spacing w:after="0" w:line="240" w:lineRule="auto"/>
              <w:rPr>
                <w:rFonts w:ascii="Garamond" w:hAnsi="Garamond"/>
                <w:sz w:val="28"/>
                <w:szCs w:val="28"/>
                <w:lang w:eastAsia="it-IT"/>
              </w:rPr>
            </w:pPr>
            <w:r w:rsidRPr="008E1B70">
              <w:rPr>
                <w:rFonts w:ascii="Garamond" w:hAnsi="Garamond"/>
                <w:sz w:val="28"/>
                <w:szCs w:val="28"/>
                <w:lang w:eastAsia="it-IT"/>
              </w:rPr>
              <w:t xml:space="preserve">                                                             </w:t>
            </w:r>
            <w:r>
              <w:rPr>
                <w:rFonts w:ascii="Garamond" w:hAnsi="Garamond"/>
                <w:sz w:val="28"/>
                <w:szCs w:val="28"/>
                <w:lang w:eastAsia="it-IT"/>
              </w:rPr>
              <w:t xml:space="preserve">   </w:t>
            </w:r>
            <w:r w:rsidRPr="008E1B70">
              <w:rPr>
                <w:rFonts w:ascii="Garamond" w:hAnsi="Garamond"/>
                <w:sz w:val="28"/>
                <w:szCs w:val="28"/>
                <w:lang w:eastAsia="it-IT"/>
              </w:rPr>
              <w:t xml:space="preserve">    15.500,00 </w:t>
            </w:r>
          </w:p>
        </w:tc>
      </w:tr>
      <w:tr w:rsidR="007D1244" w:rsidRPr="008E1B70" w:rsidTr="006E1094">
        <w:trPr>
          <w:gridBefore w:val="1"/>
          <w:trHeight w:val="255"/>
        </w:trPr>
        <w:tc>
          <w:tcPr>
            <w:tcW w:w="1396" w:type="dxa"/>
            <w:tcBorders>
              <w:top w:val="nil"/>
              <w:left w:val="nil"/>
              <w:bottom w:val="nil"/>
              <w:right w:val="nil"/>
            </w:tcBorders>
            <w:noWrap/>
            <w:vAlign w:val="bottom"/>
          </w:tcPr>
          <w:p w:rsidR="007D1244" w:rsidRPr="008E1B70" w:rsidRDefault="007D1244" w:rsidP="004C085B">
            <w:pPr>
              <w:spacing w:after="0" w:line="240" w:lineRule="auto"/>
              <w:rPr>
                <w:rFonts w:ascii="Garamond" w:hAnsi="Garamond"/>
                <w:sz w:val="28"/>
                <w:szCs w:val="28"/>
                <w:lang w:eastAsia="it-IT"/>
              </w:rPr>
            </w:pPr>
          </w:p>
        </w:tc>
        <w:tc>
          <w:tcPr>
            <w:tcW w:w="7069" w:type="dxa"/>
            <w:tcBorders>
              <w:top w:val="nil"/>
              <w:left w:val="nil"/>
              <w:bottom w:val="nil"/>
              <w:right w:val="nil"/>
            </w:tcBorders>
            <w:noWrap/>
            <w:vAlign w:val="bottom"/>
          </w:tcPr>
          <w:p w:rsidR="007D1244" w:rsidRPr="008E1B70" w:rsidRDefault="007D1244" w:rsidP="004C085B">
            <w:pPr>
              <w:spacing w:after="0" w:line="240" w:lineRule="auto"/>
              <w:rPr>
                <w:rFonts w:ascii="Garamond" w:hAnsi="Garamond"/>
                <w:sz w:val="28"/>
                <w:szCs w:val="28"/>
                <w:lang w:eastAsia="it-IT"/>
              </w:rPr>
            </w:pPr>
          </w:p>
        </w:tc>
      </w:tr>
      <w:tr w:rsidR="007D1244" w:rsidRPr="008E1B70" w:rsidTr="006E1094">
        <w:trPr>
          <w:gridBefore w:val="1"/>
          <w:trHeight w:val="255"/>
        </w:trPr>
        <w:tc>
          <w:tcPr>
            <w:tcW w:w="8465" w:type="dxa"/>
            <w:gridSpan w:val="2"/>
            <w:tcBorders>
              <w:top w:val="nil"/>
              <w:left w:val="nil"/>
              <w:bottom w:val="single" w:sz="4" w:space="0" w:color="auto"/>
              <w:right w:val="nil"/>
            </w:tcBorders>
            <w:shd w:val="clear" w:color="auto" w:fill="FFFF00"/>
            <w:noWrap/>
            <w:vAlign w:val="bottom"/>
          </w:tcPr>
          <w:p w:rsidR="007D1244" w:rsidRPr="008E1B70" w:rsidRDefault="007D1244" w:rsidP="004C085B">
            <w:pPr>
              <w:spacing w:after="0" w:line="240" w:lineRule="auto"/>
              <w:jc w:val="center"/>
              <w:rPr>
                <w:rFonts w:ascii="Garamond" w:hAnsi="Garamond"/>
                <w:b/>
                <w:bCs/>
                <w:sz w:val="28"/>
                <w:szCs w:val="28"/>
                <w:lang w:eastAsia="it-IT"/>
              </w:rPr>
            </w:pPr>
            <w:r w:rsidRPr="008E1B70">
              <w:rPr>
                <w:rFonts w:ascii="Garamond" w:hAnsi="Garamond"/>
                <w:b/>
                <w:bCs/>
                <w:sz w:val="28"/>
                <w:szCs w:val="28"/>
                <w:lang w:eastAsia="it-IT"/>
              </w:rPr>
              <w:t>DIRIGENTE CON INCARICO PROFESSIONALE</w:t>
            </w:r>
          </w:p>
        </w:tc>
      </w:tr>
      <w:tr w:rsidR="007D1244" w:rsidRPr="000E5C5D" w:rsidTr="006E1094">
        <w:trPr>
          <w:gridBefore w:val="1"/>
          <w:trHeight w:val="255"/>
        </w:trPr>
        <w:tc>
          <w:tcPr>
            <w:tcW w:w="1396" w:type="dxa"/>
            <w:tcBorders>
              <w:top w:val="nil"/>
              <w:left w:val="single" w:sz="4" w:space="0" w:color="auto"/>
              <w:bottom w:val="single" w:sz="4" w:space="0" w:color="auto"/>
              <w:right w:val="single" w:sz="4" w:space="0" w:color="auto"/>
            </w:tcBorders>
            <w:noWrap/>
            <w:vAlign w:val="bottom"/>
          </w:tcPr>
          <w:p w:rsidR="007D1244" w:rsidRPr="000E5C5D" w:rsidRDefault="007D1244">
            <w:pPr>
              <w:rPr>
                <w:rFonts w:ascii="Garamond" w:hAnsi="Garamond" w:cs="Arial"/>
                <w:sz w:val="28"/>
                <w:szCs w:val="28"/>
              </w:rPr>
            </w:pPr>
            <w:r w:rsidRPr="000E5C5D">
              <w:rPr>
                <w:rFonts w:ascii="Garamond" w:hAnsi="Garamond" w:cs="Arial"/>
                <w:sz w:val="28"/>
                <w:szCs w:val="28"/>
              </w:rPr>
              <w:t xml:space="preserve">                          professional JUNIOR</w:t>
            </w:r>
          </w:p>
        </w:tc>
        <w:tc>
          <w:tcPr>
            <w:tcW w:w="7069" w:type="dxa"/>
            <w:tcBorders>
              <w:top w:val="nil"/>
              <w:left w:val="nil"/>
              <w:bottom w:val="single" w:sz="4" w:space="0" w:color="auto"/>
              <w:right w:val="single" w:sz="4" w:space="0" w:color="auto"/>
            </w:tcBorders>
            <w:noWrap/>
            <w:vAlign w:val="bottom"/>
          </w:tcPr>
          <w:p w:rsidR="007D1244" w:rsidRPr="000E5C5D" w:rsidRDefault="007D1244" w:rsidP="005906A7">
            <w:pPr>
              <w:jc w:val="center"/>
              <w:rPr>
                <w:rFonts w:ascii="Garamond" w:hAnsi="Garamond" w:cs="Arial"/>
                <w:sz w:val="28"/>
                <w:szCs w:val="28"/>
              </w:rPr>
            </w:pPr>
            <w:r w:rsidRPr="000E5C5D">
              <w:rPr>
                <w:rFonts w:ascii="Garamond" w:hAnsi="Garamond" w:cs="Arial"/>
                <w:sz w:val="28"/>
                <w:szCs w:val="28"/>
              </w:rPr>
              <w:t>5.500</w:t>
            </w:r>
          </w:p>
        </w:tc>
      </w:tr>
      <w:tr w:rsidR="007D1244" w:rsidRPr="000E5C5D" w:rsidTr="006E1094">
        <w:trPr>
          <w:gridBefore w:val="1"/>
          <w:trHeight w:val="255"/>
        </w:trPr>
        <w:tc>
          <w:tcPr>
            <w:tcW w:w="1396" w:type="dxa"/>
            <w:tcBorders>
              <w:top w:val="nil"/>
              <w:left w:val="single" w:sz="4" w:space="0" w:color="auto"/>
              <w:bottom w:val="single" w:sz="4" w:space="0" w:color="auto"/>
              <w:right w:val="single" w:sz="4" w:space="0" w:color="auto"/>
            </w:tcBorders>
            <w:noWrap/>
            <w:vAlign w:val="bottom"/>
          </w:tcPr>
          <w:p w:rsidR="007D1244" w:rsidRPr="000E5C5D" w:rsidRDefault="007D1244">
            <w:pPr>
              <w:rPr>
                <w:rFonts w:ascii="Garamond" w:hAnsi="Garamond" w:cs="Arial"/>
                <w:sz w:val="28"/>
                <w:szCs w:val="28"/>
              </w:rPr>
            </w:pPr>
            <w:r w:rsidRPr="000E5C5D">
              <w:rPr>
                <w:rFonts w:ascii="Garamond" w:hAnsi="Garamond" w:cs="Arial"/>
                <w:sz w:val="28"/>
                <w:szCs w:val="28"/>
              </w:rPr>
              <w:t xml:space="preserve">                          professional JUNIOR A</w:t>
            </w:r>
          </w:p>
        </w:tc>
        <w:tc>
          <w:tcPr>
            <w:tcW w:w="7069" w:type="dxa"/>
            <w:tcBorders>
              <w:top w:val="nil"/>
              <w:left w:val="nil"/>
              <w:bottom w:val="single" w:sz="4" w:space="0" w:color="auto"/>
              <w:right w:val="single" w:sz="4" w:space="0" w:color="auto"/>
            </w:tcBorders>
            <w:noWrap/>
            <w:vAlign w:val="bottom"/>
          </w:tcPr>
          <w:p w:rsidR="007D1244" w:rsidRPr="000E5C5D" w:rsidRDefault="007D1244" w:rsidP="005906A7">
            <w:pPr>
              <w:jc w:val="center"/>
              <w:rPr>
                <w:rFonts w:ascii="Garamond" w:hAnsi="Garamond" w:cs="Arial"/>
                <w:sz w:val="28"/>
                <w:szCs w:val="28"/>
              </w:rPr>
            </w:pPr>
            <w:r w:rsidRPr="000E5C5D">
              <w:rPr>
                <w:rFonts w:ascii="Garamond" w:hAnsi="Garamond" w:cs="Arial"/>
                <w:sz w:val="28"/>
                <w:szCs w:val="28"/>
              </w:rPr>
              <w:t>5.800</w:t>
            </w:r>
          </w:p>
        </w:tc>
      </w:tr>
      <w:tr w:rsidR="007D1244" w:rsidRPr="000E5C5D" w:rsidTr="006E1094">
        <w:trPr>
          <w:gridBefore w:val="1"/>
          <w:trHeight w:val="255"/>
        </w:trPr>
        <w:tc>
          <w:tcPr>
            <w:tcW w:w="1396" w:type="dxa"/>
            <w:tcBorders>
              <w:top w:val="nil"/>
              <w:left w:val="single" w:sz="4" w:space="0" w:color="auto"/>
              <w:bottom w:val="single" w:sz="4" w:space="0" w:color="auto"/>
              <w:right w:val="single" w:sz="4" w:space="0" w:color="auto"/>
            </w:tcBorders>
            <w:noWrap/>
            <w:vAlign w:val="bottom"/>
          </w:tcPr>
          <w:p w:rsidR="007D1244" w:rsidRPr="000E5C5D" w:rsidRDefault="007D1244">
            <w:pPr>
              <w:rPr>
                <w:rFonts w:ascii="Garamond" w:hAnsi="Garamond" w:cs="Arial"/>
                <w:sz w:val="28"/>
                <w:szCs w:val="28"/>
              </w:rPr>
            </w:pPr>
            <w:r w:rsidRPr="000E5C5D">
              <w:rPr>
                <w:rFonts w:ascii="Garamond" w:hAnsi="Garamond" w:cs="Arial"/>
                <w:sz w:val="28"/>
                <w:szCs w:val="28"/>
              </w:rPr>
              <w:t xml:space="preserve">                          professional JUNIOR B</w:t>
            </w:r>
          </w:p>
        </w:tc>
        <w:tc>
          <w:tcPr>
            <w:tcW w:w="7069" w:type="dxa"/>
            <w:tcBorders>
              <w:top w:val="nil"/>
              <w:left w:val="nil"/>
              <w:bottom w:val="single" w:sz="4" w:space="0" w:color="auto"/>
              <w:right w:val="single" w:sz="4" w:space="0" w:color="auto"/>
            </w:tcBorders>
            <w:noWrap/>
            <w:vAlign w:val="bottom"/>
          </w:tcPr>
          <w:p w:rsidR="007D1244" w:rsidRPr="000E5C5D" w:rsidRDefault="007D1244" w:rsidP="005906A7">
            <w:pPr>
              <w:jc w:val="center"/>
              <w:rPr>
                <w:rFonts w:ascii="Garamond" w:hAnsi="Garamond" w:cs="Arial"/>
                <w:sz w:val="28"/>
                <w:szCs w:val="28"/>
              </w:rPr>
            </w:pPr>
            <w:r w:rsidRPr="000E5C5D">
              <w:rPr>
                <w:rFonts w:ascii="Garamond" w:hAnsi="Garamond" w:cs="Arial"/>
                <w:sz w:val="28"/>
                <w:szCs w:val="28"/>
              </w:rPr>
              <w:t>6.800</w:t>
            </w:r>
          </w:p>
        </w:tc>
      </w:tr>
      <w:tr w:rsidR="007D1244" w:rsidRPr="000E5C5D" w:rsidTr="006E1094">
        <w:trPr>
          <w:gridBefore w:val="1"/>
          <w:trHeight w:val="255"/>
        </w:trPr>
        <w:tc>
          <w:tcPr>
            <w:tcW w:w="1396" w:type="dxa"/>
            <w:tcBorders>
              <w:top w:val="nil"/>
              <w:left w:val="single" w:sz="4" w:space="0" w:color="auto"/>
              <w:bottom w:val="single" w:sz="4" w:space="0" w:color="auto"/>
              <w:right w:val="single" w:sz="4" w:space="0" w:color="auto"/>
            </w:tcBorders>
            <w:noWrap/>
            <w:vAlign w:val="bottom"/>
          </w:tcPr>
          <w:p w:rsidR="007D1244" w:rsidRPr="000E5C5D" w:rsidRDefault="007D1244">
            <w:pPr>
              <w:rPr>
                <w:rFonts w:ascii="Garamond" w:hAnsi="Garamond" w:cs="Arial"/>
                <w:sz w:val="28"/>
                <w:szCs w:val="28"/>
              </w:rPr>
            </w:pPr>
            <w:r w:rsidRPr="000E5C5D">
              <w:rPr>
                <w:rFonts w:ascii="Garamond" w:hAnsi="Garamond" w:cs="Arial"/>
                <w:sz w:val="28"/>
                <w:szCs w:val="28"/>
              </w:rPr>
              <w:t xml:space="preserve">                          </w:t>
            </w:r>
            <w:r>
              <w:rPr>
                <w:rFonts w:ascii="Garamond" w:hAnsi="Garamond" w:cs="Arial"/>
                <w:sz w:val="28"/>
                <w:szCs w:val="28"/>
              </w:rPr>
              <w:t xml:space="preserve">Professional </w:t>
            </w:r>
            <w:r w:rsidRPr="000E5C5D">
              <w:rPr>
                <w:rFonts w:ascii="Garamond" w:hAnsi="Garamond" w:cs="Arial"/>
                <w:sz w:val="28"/>
                <w:szCs w:val="28"/>
              </w:rPr>
              <w:t xml:space="preserve"> Senior A </w:t>
            </w:r>
          </w:p>
        </w:tc>
        <w:tc>
          <w:tcPr>
            <w:tcW w:w="7069" w:type="dxa"/>
            <w:tcBorders>
              <w:top w:val="nil"/>
              <w:left w:val="nil"/>
              <w:bottom w:val="single" w:sz="4" w:space="0" w:color="auto"/>
              <w:right w:val="single" w:sz="4" w:space="0" w:color="auto"/>
            </w:tcBorders>
            <w:noWrap/>
            <w:vAlign w:val="bottom"/>
          </w:tcPr>
          <w:p w:rsidR="007D1244" w:rsidRPr="000E5C5D" w:rsidRDefault="007D1244" w:rsidP="005906A7">
            <w:pPr>
              <w:jc w:val="center"/>
              <w:rPr>
                <w:rFonts w:ascii="Garamond" w:hAnsi="Garamond" w:cs="Arial"/>
                <w:sz w:val="28"/>
                <w:szCs w:val="28"/>
              </w:rPr>
            </w:pPr>
            <w:r w:rsidRPr="000E5C5D">
              <w:rPr>
                <w:rFonts w:ascii="Garamond" w:hAnsi="Garamond" w:cs="Arial"/>
                <w:sz w:val="28"/>
                <w:szCs w:val="28"/>
              </w:rPr>
              <w:t>7.670,00</w:t>
            </w:r>
          </w:p>
        </w:tc>
      </w:tr>
      <w:tr w:rsidR="007D1244" w:rsidRPr="000E5C5D" w:rsidTr="006E1094">
        <w:trPr>
          <w:gridBefore w:val="1"/>
          <w:trHeight w:val="255"/>
        </w:trPr>
        <w:tc>
          <w:tcPr>
            <w:tcW w:w="1396" w:type="dxa"/>
            <w:tcBorders>
              <w:top w:val="nil"/>
              <w:left w:val="single" w:sz="4" w:space="0" w:color="auto"/>
              <w:bottom w:val="single" w:sz="4" w:space="0" w:color="auto"/>
              <w:right w:val="single" w:sz="4" w:space="0" w:color="auto"/>
            </w:tcBorders>
            <w:noWrap/>
            <w:vAlign w:val="bottom"/>
          </w:tcPr>
          <w:p w:rsidR="007D1244" w:rsidRPr="000E5C5D" w:rsidRDefault="007D1244">
            <w:pPr>
              <w:rPr>
                <w:rFonts w:ascii="Garamond" w:hAnsi="Garamond" w:cs="Arial"/>
                <w:sz w:val="28"/>
                <w:szCs w:val="28"/>
              </w:rPr>
            </w:pPr>
            <w:r w:rsidRPr="000E5C5D">
              <w:rPr>
                <w:rFonts w:ascii="Garamond" w:hAnsi="Garamond" w:cs="Arial"/>
                <w:sz w:val="28"/>
                <w:szCs w:val="28"/>
              </w:rPr>
              <w:t xml:space="preserve">                          professional SENIOR B</w:t>
            </w:r>
          </w:p>
        </w:tc>
        <w:tc>
          <w:tcPr>
            <w:tcW w:w="7069" w:type="dxa"/>
            <w:tcBorders>
              <w:top w:val="nil"/>
              <w:left w:val="nil"/>
              <w:bottom w:val="single" w:sz="4" w:space="0" w:color="auto"/>
              <w:right w:val="single" w:sz="4" w:space="0" w:color="auto"/>
            </w:tcBorders>
            <w:noWrap/>
            <w:vAlign w:val="bottom"/>
          </w:tcPr>
          <w:p w:rsidR="007D1244" w:rsidRPr="000E5C5D" w:rsidRDefault="007D1244" w:rsidP="005906A7">
            <w:pPr>
              <w:jc w:val="center"/>
              <w:rPr>
                <w:rFonts w:ascii="Garamond" w:hAnsi="Garamond" w:cs="Arial"/>
                <w:sz w:val="28"/>
                <w:szCs w:val="28"/>
              </w:rPr>
            </w:pPr>
            <w:r w:rsidRPr="000E5C5D">
              <w:rPr>
                <w:rFonts w:ascii="Garamond" w:hAnsi="Garamond" w:cs="Arial"/>
                <w:sz w:val="28"/>
                <w:szCs w:val="28"/>
              </w:rPr>
              <w:t>8.670</w:t>
            </w:r>
          </w:p>
        </w:tc>
      </w:tr>
      <w:tr w:rsidR="007D1244" w:rsidRPr="000E5C5D" w:rsidTr="006E1094">
        <w:trPr>
          <w:gridBefore w:val="1"/>
          <w:trHeight w:val="255"/>
        </w:trPr>
        <w:tc>
          <w:tcPr>
            <w:tcW w:w="1396" w:type="dxa"/>
            <w:tcBorders>
              <w:top w:val="nil"/>
              <w:left w:val="single" w:sz="4" w:space="0" w:color="auto"/>
              <w:bottom w:val="nil"/>
              <w:right w:val="single" w:sz="4" w:space="0" w:color="auto"/>
            </w:tcBorders>
            <w:noWrap/>
            <w:vAlign w:val="bottom"/>
          </w:tcPr>
          <w:p w:rsidR="007D1244" w:rsidRPr="000E5C5D" w:rsidRDefault="007D1244">
            <w:pPr>
              <w:rPr>
                <w:rFonts w:ascii="Garamond" w:hAnsi="Garamond" w:cs="Arial"/>
                <w:sz w:val="28"/>
                <w:szCs w:val="28"/>
              </w:rPr>
            </w:pPr>
            <w:r w:rsidRPr="000E5C5D">
              <w:rPr>
                <w:rFonts w:ascii="Garamond" w:hAnsi="Garamond" w:cs="Arial"/>
                <w:sz w:val="28"/>
                <w:szCs w:val="28"/>
              </w:rPr>
              <w:t xml:space="preserve">                        professional SENIOR C</w:t>
            </w:r>
          </w:p>
        </w:tc>
        <w:tc>
          <w:tcPr>
            <w:tcW w:w="7069" w:type="dxa"/>
            <w:tcBorders>
              <w:top w:val="nil"/>
              <w:left w:val="nil"/>
              <w:bottom w:val="nil"/>
              <w:right w:val="single" w:sz="4" w:space="0" w:color="auto"/>
            </w:tcBorders>
            <w:noWrap/>
            <w:vAlign w:val="bottom"/>
          </w:tcPr>
          <w:p w:rsidR="007D1244" w:rsidRPr="000E5C5D" w:rsidRDefault="007D1244" w:rsidP="005906A7">
            <w:pPr>
              <w:jc w:val="center"/>
              <w:rPr>
                <w:rFonts w:ascii="Garamond" w:hAnsi="Garamond" w:cs="Arial"/>
                <w:sz w:val="28"/>
                <w:szCs w:val="28"/>
              </w:rPr>
            </w:pPr>
            <w:r w:rsidRPr="000E5C5D">
              <w:rPr>
                <w:rFonts w:ascii="Garamond" w:hAnsi="Garamond" w:cs="Arial"/>
                <w:sz w:val="28"/>
                <w:szCs w:val="28"/>
              </w:rPr>
              <w:t>11.000</w:t>
            </w:r>
          </w:p>
        </w:tc>
      </w:tr>
      <w:tr w:rsidR="007D1244" w:rsidRPr="000E5C5D" w:rsidTr="006E1094">
        <w:trPr>
          <w:gridBefore w:val="1"/>
          <w:trHeight w:val="255"/>
        </w:trPr>
        <w:tc>
          <w:tcPr>
            <w:tcW w:w="1396" w:type="dxa"/>
            <w:tcBorders>
              <w:top w:val="nil"/>
              <w:left w:val="single" w:sz="4" w:space="0" w:color="auto"/>
              <w:bottom w:val="nil"/>
              <w:right w:val="single" w:sz="4" w:space="0" w:color="auto"/>
            </w:tcBorders>
            <w:noWrap/>
            <w:vAlign w:val="bottom"/>
          </w:tcPr>
          <w:p w:rsidR="007D1244" w:rsidRPr="000E5C5D" w:rsidRDefault="007D1244">
            <w:pPr>
              <w:rPr>
                <w:rFonts w:ascii="Garamond" w:hAnsi="Garamond" w:cs="Arial"/>
                <w:sz w:val="28"/>
                <w:szCs w:val="28"/>
              </w:rPr>
            </w:pPr>
            <w:r w:rsidRPr="000E5C5D">
              <w:rPr>
                <w:rFonts w:ascii="Garamond" w:hAnsi="Garamond" w:cs="Arial"/>
                <w:sz w:val="28"/>
                <w:szCs w:val="28"/>
              </w:rPr>
              <w:t xml:space="preserve">                        professional SENIOR D</w:t>
            </w:r>
          </w:p>
        </w:tc>
        <w:tc>
          <w:tcPr>
            <w:tcW w:w="7069" w:type="dxa"/>
            <w:tcBorders>
              <w:top w:val="nil"/>
              <w:left w:val="nil"/>
              <w:bottom w:val="nil"/>
              <w:right w:val="single" w:sz="4" w:space="0" w:color="auto"/>
            </w:tcBorders>
            <w:noWrap/>
            <w:vAlign w:val="bottom"/>
          </w:tcPr>
          <w:p w:rsidR="007D1244" w:rsidRPr="000E5C5D" w:rsidRDefault="007D1244" w:rsidP="005906A7">
            <w:pPr>
              <w:jc w:val="center"/>
              <w:rPr>
                <w:rFonts w:ascii="Garamond" w:hAnsi="Garamond" w:cs="Arial"/>
                <w:sz w:val="28"/>
                <w:szCs w:val="28"/>
              </w:rPr>
            </w:pPr>
            <w:r w:rsidRPr="000E5C5D">
              <w:rPr>
                <w:rFonts w:ascii="Garamond" w:hAnsi="Garamond" w:cs="Arial"/>
                <w:sz w:val="28"/>
                <w:szCs w:val="28"/>
              </w:rPr>
              <w:t>11.500</w:t>
            </w:r>
          </w:p>
        </w:tc>
      </w:tr>
      <w:tr w:rsidR="007D1244" w:rsidRPr="000E5C5D" w:rsidTr="006E1094">
        <w:trPr>
          <w:gridBefore w:val="1"/>
          <w:trHeight w:val="255"/>
        </w:trPr>
        <w:tc>
          <w:tcPr>
            <w:tcW w:w="1396" w:type="dxa"/>
            <w:tcBorders>
              <w:top w:val="nil"/>
              <w:left w:val="single" w:sz="4" w:space="0" w:color="auto"/>
              <w:bottom w:val="nil"/>
              <w:right w:val="single" w:sz="4" w:space="0" w:color="auto"/>
            </w:tcBorders>
            <w:noWrap/>
            <w:vAlign w:val="bottom"/>
          </w:tcPr>
          <w:p w:rsidR="007D1244" w:rsidRPr="000E5C5D" w:rsidRDefault="007D1244">
            <w:pPr>
              <w:rPr>
                <w:rFonts w:ascii="Garamond" w:hAnsi="Garamond" w:cs="Arial"/>
                <w:sz w:val="28"/>
                <w:szCs w:val="28"/>
              </w:rPr>
            </w:pPr>
            <w:r w:rsidRPr="000E5C5D">
              <w:rPr>
                <w:rFonts w:ascii="Garamond" w:hAnsi="Garamond" w:cs="Arial"/>
                <w:sz w:val="28"/>
                <w:szCs w:val="28"/>
              </w:rPr>
              <w:t xml:space="preserve">                        professional </w:t>
            </w:r>
            <w:r w:rsidRPr="000E5C5D">
              <w:rPr>
                <w:rFonts w:ascii="Garamond" w:hAnsi="Garamond" w:cs="Arial"/>
                <w:i/>
                <w:iCs/>
                <w:sz w:val="28"/>
                <w:szCs w:val="28"/>
              </w:rPr>
              <w:t>di riferimento UOC</w:t>
            </w:r>
          </w:p>
        </w:tc>
        <w:tc>
          <w:tcPr>
            <w:tcW w:w="7069" w:type="dxa"/>
            <w:tcBorders>
              <w:top w:val="nil"/>
              <w:left w:val="nil"/>
              <w:bottom w:val="nil"/>
              <w:right w:val="single" w:sz="4" w:space="0" w:color="auto"/>
            </w:tcBorders>
            <w:noWrap/>
            <w:vAlign w:val="bottom"/>
          </w:tcPr>
          <w:p w:rsidR="007D1244" w:rsidRPr="000E5C5D" w:rsidRDefault="007D1244" w:rsidP="005906A7">
            <w:pPr>
              <w:jc w:val="center"/>
              <w:rPr>
                <w:rFonts w:ascii="Garamond" w:hAnsi="Garamond" w:cs="Arial"/>
                <w:sz w:val="28"/>
                <w:szCs w:val="28"/>
              </w:rPr>
            </w:pPr>
            <w:r w:rsidRPr="000E5C5D">
              <w:rPr>
                <w:rFonts w:ascii="Garamond" w:hAnsi="Garamond" w:cs="Arial"/>
                <w:sz w:val="28"/>
                <w:szCs w:val="28"/>
              </w:rPr>
              <w:t>12.850</w:t>
            </w:r>
          </w:p>
        </w:tc>
      </w:tr>
      <w:tr w:rsidR="007D1244" w:rsidRPr="000E5C5D" w:rsidTr="006E1094">
        <w:trPr>
          <w:gridBefore w:val="1"/>
          <w:trHeight w:val="255"/>
        </w:trPr>
        <w:tc>
          <w:tcPr>
            <w:tcW w:w="1396" w:type="dxa"/>
            <w:tcBorders>
              <w:top w:val="nil"/>
              <w:left w:val="single" w:sz="4" w:space="0" w:color="auto"/>
              <w:bottom w:val="nil"/>
              <w:right w:val="single" w:sz="4" w:space="0" w:color="auto"/>
            </w:tcBorders>
            <w:noWrap/>
            <w:vAlign w:val="bottom"/>
          </w:tcPr>
          <w:p w:rsidR="007D1244" w:rsidRPr="000E5C5D" w:rsidRDefault="007D1244">
            <w:pPr>
              <w:rPr>
                <w:rFonts w:ascii="Garamond" w:hAnsi="Garamond" w:cs="Arial"/>
                <w:sz w:val="28"/>
                <w:szCs w:val="28"/>
              </w:rPr>
            </w:pPr>
            <w:r w:rsidRPr="000E5C5D">
              <w:rPr>
                <w:rFonts w:ascii="Garamond" w:hAnsi="Garamond" w:cs="Arial"/>
                <w:sz w:val="28"/>
                <w:szCs w:val="28"/>
              </w:rPr>
              <w:t xml:space="preserve">                        professional </w:t>
            </w:r>
            <w:r w:rsidRPr="000E5C5D">
              <w:rPr>
                <w:rFonts w:ascii="Garamond" w:hAnsi="Garamond" w:cs="Arial"/>
                <w:i/>
                <w:iCs/>
                <w:sz w:val="28"/>
                <w:szCs w:val="28"/>
              </w:rPr>
              <w:t>di riferimento dipartimento</w:t>
            </w:r>
          </w:p>
        </w:tc>
        <w:tc>
          <w:tcPr>
            <w:tcW w:w="7069" w:type="dxa"/>
            <w:tcBorders>
              <w:top w:val="nil"/>
              <w:left w:val="nil"/>
              <w:bottom w:val="nil"/>
              <w:right w:val="single" w:sz="4" w:space="0" w:color="auto"/>
            </w:tcBorders>
            <w:noWrap/>
            <w:vAlign w:val="bottom"/>
          </w:tcPr>
          <w:p w:rsidR="007D1244" w:rsidRPr="000E5C5D" w:rsidRDefault="007D1244" w:rsidP="005906A7">
            <w:pPr>
              <w:jc w:val="center"/>
              <w:rPr>
                <w:rFonts w:ascii="Garamond" w:hAnsi="Garamond" w:cs="Arial"/>
                <w:sz w:val="28"/>
                <w:szCs w:val="28"/>
              </w:rPr>
            </w:pPr>
            <w:r w:rsidRPr="000E5C5D">
              <w:rPr>
                <w:rFonts w:ascii="Garamond" w:hAnsi="Garamond" w:cs="Arial"/>
                <w:sz w:val="28"/>
                <w:szCs w:val="28"/>
              </w:rPr>
              <w:t>15.500</w:t>
            </w:r>
          </w:p>
        </w:tc>
      </w:tr>
    </w:tbl>
    <w:p w:rsidR="007D1244" w:rsidRPr="000E5C5D" w:rsidRDefault="007D1244" w:rsidP="00F46C90">
      <w:pPr>
        <w:jc w:val="both"/>
        <w:rPr>
          <w:rFonts w:ascii="Garamond" w:hAnsi="Garamond"/>
          <w:sz w:val="28"/>
          <w:szCs w:val="28"/>
        </w:rPr>
      </w:pPr>
    </w:p>
    <w:p w:rsidR="007D1244" w:rsidRDefault="007D1244" w:rsidP="00E23B7A">
      <w:pPr>
        <w:jc w:val="both"/>
        <w:rPr>
          <w:rFonts w:ascii="Garamond" w:hAnsi="Garamond"/>
          <w:sz w:val="28"/>
          <w:szCs w:val="28"/>
        </w:rPr>
      </w:pPr>
      <w:r>
        <w:rPr>
          <w:rFonts w:ascii="Garamond" w:hAnsi="Garamond"/>
          <w:sz w:val="28"/>
          <w:szCs w:val="28"/>
        </w:rPr>
        <w:t>La graduazione ha effetto dal 01/01/2023 per gli incarichi di struttura complessa e di struttura semplice e dal 01/01/2022 per gli incarichi professionali fermo restando l’eventuale retribuzione di posizione più favorevole già goduta dal dirigente.</w:t>
      </w:r>
    </w:p>
    <w:p w:rsidR="007D1244" w:rsidRDefault="007D1244" w:rsidP="00E23B7A">
      <w:pPr>
        <w:jc w:val="both"/>
        <w:rPr>
          <w:rFonts w:ascii="Garamond" w:hAnsi="Garamond"/>
          <w:sz w:val="28"/>
          <w:szCs w:val="28"/>
        </w:rPr>
      </w:pPr>
      <w:r>
        <w:rPr>
          <w:rFonts w:ascii="Garamond" w:hAnsi="Garamond"/>
          <w:sz w:val="28"/>
          <w:szCs w:val="28"/>
        </w:rPr>
        <w:t>Art. 11 DEFINIZIONE DEL CRITERIO DI RIPARTO TRA LE VOCI DI UTILIZZO DELLE RISORSE Dei FONDI ART. 90 E ART 91.</w:t>
      </w:r>
    </w:p>
    <w:p w:rsidR="007D1244" w:rsidRDefault="007D1244" w:rsidP="001E4670">
      <w:pPr>
        <w:jc w:val="both"/>
        <w:rPr>
          <w:rFonts w:ascii="Garamond" w:hAnsi="Garamond"/>
          <w:sz w:val="28"/>
          <w:szCs w:val="28"/>
        </w:rPr>
      </w:pPr>
      <w:r w:rsidRPr="008E1B70">
        <w:rPr>
          <w:rFonts w:ascii="Garamond" w:hAnsi="Garamond"/>
          <w:sz w:val="28"/>
          <w:szCs w:val="28"/>
        </w:rPr>
        <w:t>Ai fini della destinazione delle risorse</w:t>
      </w:r>
      <w:r>
        <w:rPr>
          <w:rFonts w:ascii="Garamond" w:hAnsi="Garamond"/>
          <w:sz w:val="28"/>
          <w:szCs w:val="28"/>
        </w:rPr>
        <w:t xml:space="preserve"> anno 2022 e anno 2023, fatti salvi gli effetti dei prossimi CCNL,</w:t>
      </w:r>
      <w:r w:rsidRPr="008E1B70">
        <w:rPr>
          <w:rFonts w:ascii="Garamond" w:hAnsi="Garamond"/>
          <w:sz w:val="28"/>
          <w:szCs w:val="28"/>
        </w:rPr>
        <w:t xml:space="preserve"> le parti</w:t>
      </w:r>
      <w:r>
        <w:rPr>
          <w:rFonts w:ascii="Garamond" w:hAnsi="Garamond"/>
          <w:sz w:val="28"/>
          <w:szCs w:val="28"/>
        </w:rPr>
        <w:t xml:space="preserve"> nel rispetto di quanto previsto dall’art. 66 comma 1 lett. a) e dall’art. 91 comma 10,</w:t>
      </w:r>
      <w:r w:rsidRPr="008E1B70">
        <w:rPr>
          <w:rFonts w:ascii="Garamond" w:hAnsi="Garamond"/>
          <w:sz w:val="28"/>
          <w:szCs w:val="28"/>
        </w:rPr>
        <w:t xml:space="preserve"> definiscono quanto segue:</w:t>
      </w:r>
    </w:p>
    <w:tbl>
      <w:tblPr>
        <w:tblW w:w="7003" w:type="dxa"/>
        <w:tblInd w:w="65" w:type="dxa"/>
        <w:tblCellMar>
          <w:left w:w="70" w:type="dxa"/>
          <w:right w:w="70" w:type="dxa"/>
        </w:tblCellMar>
        <w:tblLook w:val="0000"/>
      </w:tblPr>
      <w:tblGrid>
        <w:gridCol w:w="3640"/>
        <w:gridCol w:w="1423"/>
        <w:gridCol w:w="1940"/>
      </w:tblGrid>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b/>
                <w:bCs/>
                <w:sz w:val="24"/>
                <w:szCs w:val="24"/>
                <w:lang w:eastAsia="it-IT"/>
              </w:rPr>
            </w:pPr>
            <w:r w:rsidRPr="005906A7">
              <w:rPr>
                <w:rFonts w:ascii="Garamond" w:hAnsi="Garamond" w:cs="Arial"/>
                <w:b/>
                <w:bCs/>
                <w:sz w:val="24"/>
                <w:szCs w:val="24"/>
                <w:lang w:eastAsia="it-IT"/>
              </w:rPr>
              <w:t>RISORSE A DISPOSIZIONE</w:t>
            </w:r>
          </w:p>
        </w:tc>
        <w:tc>
          <w:tcPr>
            <w:tcW w:w="1423"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c>
          <w:tcPr>
            <w:tcW w:w="1940"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r>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ART 90</w:t>
            </w:r>
            <w:r>
              <w:rPr>
                <w:rFonts w:ascii="Garamond" w:hAnsi="Garamond" w:cs="Arial"/>
                <w:sz w:val="24"/>
                <w:szCs w:val="24"/>
                <w:lang w:eastAsia="it-IT"/>
              </w:rPr>
              <w:t xml:space="preserve"> 2021</w:t>
            </w:r>
          </w:p>
        </w:tc>
        <w:tc>
          <w:tcPr>
            <w:tcW w:w="1423"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jc w:val="right"/>
              <w:rPr>
                <w:rFonts w:ascii="Garamond" w:hAnsi="Garamond" w:cs="Arial"/>
                <w:sz w:val="24"/>
                <w:szCs w:val="24"/>
                <w:lang w:eastAsia="it-IT"/>
              </w:rPr>
            </w:pPr>
            <w:r w:rsidRPr="005906A7">
              <w:rPr>
                <w:rFonts w:ascii="Garamond" w:hAnsi="Garamond" w:cs="Arial"/>
                <w:sz w:val="24"/>
                <w:szCs w:val="24"/>
                <w:lang w:eastAsia="it-IT"/>
              </w:rPr>
              <w:t>€ 1.664.394,23</w:t>
            </w:r>
          </w:p>
        </w:tc>
        <w:tc>
          <w:tcPr>
            <w:tcW w:w="1940"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r>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ART. 91</w:t>
            </w:r>
            <w:r>
              <w:rPr>
                <w:rFonts w:ascii="Garamond" w:hAnsi="Garamond" w:cs="Arial"/>
                <w:sz w:val="24"/>
                <w:szCs w:val="24"/>
                <w:lang w:eastAsia="it-IT"/>
              </w:rPr>
              <w:t xml:space="preserve"> 2021</w:t>
            </w:r>
          </w:p>
        </w:tc>
        <w:tc>
          <w:tcPr>
            <w:tcW w:w="1423"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jc w:val="right"/>
              <w:rPr>
                <w:rFonts w:ascii="Garamond" w:hAnsi="Garamond" w:cs="Arial"/>
                <w:sz w:val="24"/>
                <w:szCs w:val="24"/>
                <w:lang w:eastAsia="it-IT"/>
              </w:rPr>
            </w:pPr>
            <w:r w:rsidRPr="005906A7">
              <w:rPr>
                <w:rFonts w:ascii="Garamond" w:hAnsi="Garamond" w:cs="Arial"/>
                <w:sz w:val="24"/>
                <w:szCs w:val="24"/>
                <w:lang w:eastAsia="it-IT"/>
              </w:rPr>
              <w:t>€ 647.314,37</w:t>
            </w:r>
          </w:p>
        </w:tc>
        <w:tc>
          <w:tcPr>
            <w:tcW w:w="1940"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r>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c>
          <w:tcPr>
            <w:tcW w:w="1423"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c>
          <w:tcPr>
            <w:tcW w:w="1940"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r>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b/>
                <w:bCs/>
                <w:color w:val="FF0000"/>
                <w:sz w:val="24"/>
                <w:szCs w:val="24"/>
                <w:lang w:eastAsia="it-IT"/>
              </w:rPr>
            </w:pPr>
            <w:r w:rsidRPr="005906A7">
              <w:rPr>
                <w:rFonts w:ascii="Garamond" w:hAnsi="Garamond" w:cs="Arial"/>
                <w:b/>
                <w:bCs/>
                <w:color w:val="FF0000"/>
                <w:sz w:val="24"/>
                <w:szCs w:val="24"/>
                <w:lang w:eastAsia="it-IT"/>
              </w:rPr>
              <w:t>ANNO 2022</w:t>
            </w:r>
          </w:p>
        </w:tc>
        <w:tc>
          <w:tcPr>
            <w:tcW w:w="1423"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c>
          <w:tcPr>
            <w:tcW w:w="1940"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r>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SPESA</w:t>
            </w:r>
          </w:p>
        </w:tc>
        <w:tc>
          <w:tcPr>
            <w:tcW w:w="1423"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jc w:val="right"/>
              <w:rPr>
                <w:rFonts w:ascii="Garamond" w:hAnsi="Garamond" w:cs="Arial"/>
                <w:sz w:val="24"/>
                <w:szCs w:val="24"/>
                <w:lang w:eastAsia="it-IT"/>
              </w:rPr>
            </w:pPr>
            <w:r w:rsidRPr="005906A7">
              <w:rPr>
                <w:rFonts w:ascii="Garamond" w:hAnsi="Garamond" w:cs="Arial"/>
                <w:sz w:val="24"/>
                <w:szCs w:val="24"/>
                <w:lang w:eastAsia="it-IT"/>
              </w:rPr>
              <w:t>€1.299.690,00</w:t>
            </w:r>
          </w:p>
        </w:tc>
        <w:tc>
          <w:tcPr>
            <w:tcW w:w="1940"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COMPLESSE</w:t>
            </w:r>
          </w:p>
        </w:tc>
      </w:tr>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c>
          <w:tcPr>
            <w:tcW w:w="1423" w:type="dxa"/>
            <w:tcBorders>
              <w:top w:val="nil"/>
              <w:left w:val="nil"/>
              <w:bottom w:val="single" w:sz="4" w:space="0" w:color="auto"/>
              <w:right w:val="single" w:sz="4" w:space="0" w:color="auto"/>
            </w:tcBorders>
            <w:noWrap/>
            <w:vAlign w:val="bottom"/>
          </w:tcPr>
          <w:p w:rsidR="007D1244" w:rsidRPr="005906A7" w:rsidRDefault="007D1244" w:rsidP="00350999">
            <w:pPr>
              <w:spacing w:after="0" w:line="240" w:lineRule="auto"/>
              <w:jc w:val="right"/>
              <w:rPr>
                <w:rFonts w:ascii="Garamond" w:hAnsi="Garamond" w:cs="Arial"/>
                <w:sz w:val="24"/>
                <w:szCs w:val="24"/>
                <w:lang w:eastAsia="it-IT"/>
              </w:rPr>
            </w:pPr>
            <w:r w:rsidRPr="005906A7">
              <w:rPr>
                <w:rFonts w:ascii="Garamond" w:hAnsi="Garamond" w:cs="Arial"/>
                <w:sz w:val="24"/>
                <w:szCs w:val="24"/>
                <w:lang w:eastAsia="it-IT"/>
              </w:rPr>
              <w:t>€17</w:t>
            </w:r>
            <w:r>
              <w:rPr>
                <w:rFonts w:ascii="Garamond" w:hAnsi="Garamond" w:cs="Arial"/>
                <w:sz w:val="24"/>
                <w:szCs w:val="24"/>
                <w:lang w:eastAsia="it-IT"/>
              </w:rPr>
              <w:t>7</w:t>
            </w:r>
            <w:r w:rsidRPr="005906A7">
              <w:rPr>
                <w:rFonts w:ascii="Garamond" w:hAnsi="Garamond" w:cs="Arial"/>
                <w:sz w:val="24"/>
                <w:szCs w:val="24"/>
                <w:lang w:eastAsia="it-IT"/>
              </w:rPr>
              <w:t>.900,00</w:t>
            </w:r>
          </w:p>
        </w:tc>
        <w:tc>
          <w:tcPr>
            <w:tcW w:w="1940"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SEMPLICI</w:t>
            </w:r>
          </w:p>
        </w:tc>
      </w:tr>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c>
          <w:tcPr>
            <w:tcW w:w="1423"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jc w:val="right"/>
              <w:rPr>
                <w:rFonts w:ascii="Garamond" w:hAnsi="Garamond" w:cs="Arial"/>
                <w:sz w:val="24"/>
                <w:szCs w:val="24"/>
                <w:lang w:eastAsia="it-IT"/>
              </w:rPr>
            </w:pPr>
            <w:r w:rsidRPr="005906A7">
              <w:rPr>
                <w:rFonts w:ascii="Garamond" w:hAnsi="Garamond" w:cs="Arial"/>
                <w:sz w:val="24"/>
                <w:szCs w:val="24"/>
                <w:lang w:eastAsia="it-IT"/>
              </w:rPr>
              <w:t>€163.914,91</w:t>
            </w:r>
          </w:p>
        </w:tc>
        <w:tc>
          <w:tcPr>
            <w:tcW w:w="1940"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IP</w:t>
            </w:r>
          </w:p>
        </w:tc>
      </w:tr>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c>
          <w:tcPr>
            <w:tcW w:w="1423" w:type="dxa"/>
            <w:tcBorders>
              <w:top w:val="nil"/>
              <w:left w:val="nil"/>
              <w:bottom w:val="single" w:sz="4" w:space="0" w:color="auto"/>
              <w:right w:val="single" w:sz="4" w:space="0" w:color="auto"/>
            </w:tcBorders>
            <w:noWrap/>
            <w:vAlign w:val="bottom"/>
          </w:tcPr>
          <w:p w:rsidR="007D1244" w:rsidRPr="005906A7" w:rsidRDefault="007D1244" w:rsidP="00350999">
            <w:pPr>
              <w:spacing w:after="0" w:line="240" w:lineRule="auto"/>
              <w:jc w:val="right"/>
              <w:rPr>
                <w:rFonts w:ascii="Garamond" w:hAnsi="Garamond" w:cs="Arial"/>
                <w:sz w:val="24"/>
                <w:szCs w:val="24"/>
                <w:lang w:eastAsia="it-IT"/>
              </w:rPr>
            </w:pPr>
            <w:r w:rsidRPr="005906A7">
              <w:rPr>
                <w:rFonts w:ascii="Garamond" w:hAnsi="Garamond" w:cs="Arial"/>
                <w:sz w:val="24"/>
                <w:szCs w:val="24"/>
                <w:lang w:eastAsia="it-IT"/>
              </w:rPr>
              <w:t>€1.64</w:t>
            </w:r>
            <w:r>
              <w:rPr>
                <w:rFonts w:ascii="Garamond" w:hAnsi="Garamond" w:cs="Arial"/>
                <w:sz w:val="24"/>
                <w:szCs w:val="24"/>
                <w:lang w:eastAsia="it-IT"/>
              </w:rPr>
              <w:t>1</w:t>
            </w:r>
            <w:r w:rsidRPr="005906A7">
              <w:rPr>
                <w:rFonts w:ascii="Garamond" w:hAnsi="Garamond" w:cs="Arial"/>
                <w:sz w:val="24"/>
                <w:szCs w:val="24"/>
                <w:lang w:eastAsia="it-IT"/>
              </w:rPr>
              <w:t>.504,91</w:t>
            </w:r>
          </w:p>
        </w:tc>
        <w:tc>
          <w:tcPr>
            <w:tcW w:w="1940"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r>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b/>
                <w:bCs/>
                <w:sz w:val="24"/>
                <w:szCs w:val="24"/>
                <w:lang w:eastAsia="it-IT"/>
              </w:rPr>
            </w:pPr>
            <w:r w:rsidRPr="005906A7">
              <w:rPr>
                <w:rFonts w:ascii="Garamond" w:hAnsi="Garamond" w:cs="Arial"/>
                <w:b/>
                <w:bCs/>
                <w:sz w:val="24"/>
                <w:szCs w:val="24"/>
                <w:lang w:eastAsia="it-IT"/>
              </w:rPr>
              <w:t>CONGELAMENTI 35%</w:t>
            </w:r>
          </w:p>
        </w:tc>
        <w:tc>
          <w:tcPr>
            <w:tcW w:w="1423"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jc w:val="right"/>
              <w:rPr>
                <w:rFonts w:ascii="Garamond" w:hAnsi="Garamond" w:cs="Arial"/>
                <w:sz w:val="24"/>
                <w:szCs w:val="24"/>
                <w:lang w:eastAsia="it-IT"/>
              </w:rPr>
            </w:pPr>
            <w:r w:rsidRPr="005906A7">
              <w:rPr>
                <w:rFonts w:ascii="Garamond" w:hAnsi="Garamond" w:cs="Arial"/>
                <w:sz w:val="24"/>
                <w:szCs w:val="24"/>
                <w:lang w:eastAsia="it-IT"/>
              </w:rPr>
              <w:t>€ 93.296,70</w:t>
            </w:r>
          </w:p>
        </w:tc>
        <w:tc>
          <w:tcPr>
            <w:tcW w:w="1940"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r>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SPESA CON CONGELAMENTO</w:t>
            </w:r>
          </w:p>
        </w:tc>
        <w:tc>
          <w:tcPr>
            <w:tcW w:w="1423" w:type="dxa"/>
            <w:tcBorders>
              <w:top w:val="nil"/>
              <w:left w:val="nil"/>
              <w:bottom w:val="single" w:sz="4" w:space="0" w:color="auto"/>
              <w:right w:val="single" w:sz="4" w:space="0" w:color="auto"/>
            </w:tcBorders>
            <w:noWrap/>
            <w:vAlign w:val="bottom"/>
          </w:tcPr>
          <w:p w:rsidR="007D1244" w:rsidRPr="005906A7" w:rsidRDefault="007D1244" w:rsidP="00350999">
            <w:pPr>
              <w:spacing w:after="0" w:line="240" w:lineRule="auto"/>
              <w:jc w:val="right"/>
              <w:rPr>
                <w:rFonts w:ascii="Garamond" w:hAnsi="Garamond" w:cs="Arial"/>
                <w:b/>
                <w:bCs/>
                <w:sz w:val="24"/>
                <w:szCs w:val="24"/>
                <w:lang w:eastAsia="it-IT"/>
              </w:rPr>
            </w:pPr>
            <w:r w:rsidRPr="005906A7">
              <w:rPr>
                <w:rFonts w:ascii="Garamond" w:hAnsi="Garamond" w:cs="Arial"/>
                <w:b/>
                <w:bCs/>
                <w:sz w:val="24"/>
                <w:szCs w:val="24"/>
                <w:lang w:eastAsia="it-IT"/>
              </w:rPr>
              <w:t>€ 1.73</w:t>
            </w:r>
            <w:r>
              <w:rPr>
                <w:rFonts w:ascii="Garamond" w:hAnsi="Garamond" w:cs="Arial"/>
                <w:b/>
                <w:bCs/>
                <w:sz w:val="24"/>
                <w:szCs w:val="24"/>
                <w:lang w:eastAsia="it-IT"/>
              </w:rPr>
              <w:t>4</w:t>
            </w:r>
            <w:r w:rsidRPr="005906A7">
              <w:rPr>
                <w:rFonts w:ascii="Garamond" w:hAnsi="Garamond" w:cs="Arial"/>
                <w:b/>
                <w:bCs/>
                <w:sz w:val="24"/>
                <w:szCs w:val="24"/>
                <w:lang w:eastAsia="it-IT"/>
              </w:rPr>
              <w:t>.801,61</w:t>
            </w:r>
          </w:p>
        </w:tc>
        <w:tc>
          <w:tcPr>
            <w:tcW w:w="1940"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r>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c>
          <w:tcPr>
            <w:tcW w:w="1423"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c>
          <w:tcPr>
            <w:tcW w:w="1940"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r>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b/>
                <w:bCs/>
                <w:color w:val="FF0000"/>
                <w:sz w:val="24"/>
                <w:szCs w:val="24"/>
                <w:lang w:eastAsia="it-IT"/>
              </w:rPr>
            </w:pPr>
            <w:r w:rsidRPr="005906A7">
              <w:rPr>
                <w:rFonts w:ascii="Garamond" w:hAnsi="Garamond" w:cs="Arial"/>
                <w:b/>
                <w:bCs/>
                <w:color w:val="FF0000"/>
                <w:sz w:val="24"/>
                <w:szCs w:val="24"/>
                <w:lang w:eastAsia="it-IT"/>
              </w:rPr>
              <w:t>ANNO 2023</w:t>
            </w:r>
          </w:p>
        </w:tc>
        <w:tc>
          <w:tcPr>
            <w:tcW w:w="1423"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c>
          <w:tcPr>
            <w:tcW w:w="1940"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r>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SPESA</w:t>
            </w:r>
          </w:p>
        </w:tc>
        <w:tc>
          <w:tcPr>
            <w:tcW w:w="1423" w:type="dxa"/>
            <w:tcBorders>
              <w:top w:val="nil"/>
              <w:left w:val="nil"/>
              <w:bottom w:val="single" w:sz="4" w:space="0" w:color="auto"/>
              <w:right w:val="single" w:sz="4" w:space="0" w:color="auto"/>
            </w:tcBorders>
            <w:noWrap/>
            <w:vAlign w:val="bottom"/>
          </w:tcPr>
          <w:p w:rsidR="007D1244" w:rsidRPr="005906A7" w:rsidRDefault="007D1244" w:rsidP="00350999">
            <w:pPr>
              <w:spacing w:after="0" w:line="240" w:lineRule="auto"/>
              <w:jc w:val="right"/>
              <w:rPr>
                <w:rFonts w:ascii="Garamond" w:hAnsi="Garamond" w:cs="Arial"/>
                <w:sz w:val="24"/>
                <w:szCs w:val="24"/>
                <w:lang w:eastAsia="it-IT"/>
              </w:rPr>
            </w:pPr>
            <w:r w:rsidRPr="005906A7">
              <w:rPr>
                <w:rFonts w:ascii="Garamond" w:hAnsi="Garamond" w:cs="Arial"/>
                <w:sz w:val="24"/>
                <w:szCs w:val="24"/>
                <w:lang w:eastAsia="it-IT"/>
              </w:rPr>
              <w:t>€1.3</w:t>
            </w:r>
            <w:r>
              <w:rPr>
                <w:rFonts w:ascii="Garamond" w:hAnsi="Garamond" w:cs="Arial"/>
                <w:sz w:val="24"/>
                <w:szCs w:val="24"/>
                <w:lang w:eastAsia="it-IT"/>
              </w:rPr>
              <w:t>8</w:t>
            </w:r>
            <w:r w:rsidRPr="005906A7">
              <w:rPr>
                <w:rFonts w:ascii="Garamond" w:hAnsi="Garamond" w:cs="Arial"/>
                <w:sz w:val="24"/>
                <w:szCs w:val="24"/>
                <w:lang w:eastAsia="it-IT"/>
              </w:rPr>
              <w:t>4.608,00</w:t>
            </w:r>
          </w:p>
        </w:tc>
        <w:tc>
          <w:tcPr>
            <w:tcW w:w="1940"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COMPLESSE</w:t>
            </w:r>
          </w:p>
        </w:tc>
      </w:tr>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c>
          <w:tcPr>
            <w:tcW w:w="1423" w:type="dxa"/>
            <w:tcBorders>
              <w:top w:val="nil"/>
              <w:left w:val="nil"/>
              <w:bottom w:val="single" w:sz="4" w:space="0" w:color="auto"/>
              <w:right w:val="single" w:sz="4" w:space="0" w:color="auto"/>
            </w:tcBorders>
            <w:noWrap/>
            <w:vAlign w:val="bottom"/>
          </w:tcPr>
          <w:p w:rsidR="007D1244" w:rsidRPr="005906A7" w:rsidRDefault="007D1244" w:rsidP="00350999">
            <w:pPr>
              <w:spacing w:after="0" w:line="240" w:lineRule="auto"/>
              <w:jc w:val="right"/>
              <w:rPr>
                <w:rFonts w:ascii="Garamond" w:hAnsi="Garamond" w:cs="Arial"/>
                <w:sz w:val="24"/>
                <w:szCs w:val="24"/>
                <w:lang w:eastAsia="it-IT"/>
              </w:rPr>
            </w:pPr>
            <w:r w:rsidRPr="005906A7">
              <w:rPr>
                <w:rFonts w:ascii="Garamond" w:hAnsi="Garamond" w:cs="Arial"/>
                <w:sz w:val="24"/>
                <w:szCs w:val="24"/>
                <w:lang w:eastAsia="it-IT"/>
              </w:rPr>
              <w:t>€1</w:t>
            </w:r>
            <w:r>
              <w:rPr>
                <w:rFonts w:ascii="Garamond" w:hAnsi="Garamond" w:cs="Arial"/>
                <w:sz w:val="24"/>
                <w:szCs w:val="24"/>
                <w:lang w:eastAsia="it-IT"/>
              </w:rPr>
              <w:t>89</w:t>
            </w:r>
            <w:r w:rsidRPr="005906A7">
              <w:rPr>
                <w:rFonts w:ascii="Garamond" w:hAnsi="Garamond" w:cs="Arial"/>
                <w:sz w:val="24"/>
                <w:szCs w:val="24"/>
                <w:lang w:eastAsia="it-IT"/>
              </w:rPr>
              <w:t>.</w:t>
            </w:r>
            <w:r>
              <w:rPr>
                <w:rFonts w:ascii="Garamond" w:hAnsi="Garamond" w:cs="Arial"/>
                <w:sz w:val="24"/>
                <w:szCs w:val="24"/>
                <w:lang w:eastAsia="it-IT"/>
              </w:rPr>
              <w:t>150</w:t>
            </w:r>
            <w:r w:rsidRPr="005906A7">
              <w:rPr>
                <w:rFonts w:ascii="Garamond" w:hAnsi="Garamond" w:cs="Arial"/>
                <w:sz w:val="24"/>
                <w:szCs w:val="24"/>
                <w:lang w:eastAsia="it-IT"/>
              </w:rPr>
              <w:t>,00</w:t>
            </w:r>
          </w:p>
        </w:tc>
        <w:tc>
          <w:tcPr>
            <w:tcW w:w="1940"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SEMPLICI</w:t>
            </w:r>
          </w:p>
        </w:tc>
      </w:tr>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c>
          <w:tcPr>
            <w:tcW w:w="1423"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jc w:val="right"/>
              <w:rPr>
                <w:rFonts w:ascii="Garamond" w:hAnsi="Garamond" w:cs="Arial"/>
                <w:sz w:val="24"/>
                <w:szCs w:val="24"/>
                <w:lang w:eastAsia="it-IT"/>
              </w:rPr>
            </w:pPr>
            <w:r w:rsidRPr="005906A7">
              <w:rPr>
                <w:rFonts w:ascii="Garamond" w:hAnsi="Garamond" w:cs="Arial"/>
                <w:sz w:val="24"/>
                <w:szCs w:val="24"/>
                <w:lang w:eastAsia="it-IT"/>
              </w:rPr>
              <w:t>€163.914,91</w:t>
            </w:r>
          </w:p>
        </w:tc>
        <w:tc>
          <w:tcPr>
            <w:tcW w:w="1940"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IP</w:t>
            </w:r>
          </w:p>
        </w:tc>
      </w:tr>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c>
          <w:tcPr>
            <w:tcW w:w="1423" w:type="dxa"/>
            <w:tcBorders>
              <w:top w:val="nil"/>
              <w:left w:val="nil"/>
              <w:bottom w:val="single" w:sz="4" w:space="0" w:color="auto"/>
              <w:right w:val="single" w:sz="4" w:space="0" w:color="auto"/>
            </w:tcBorders>
            <w:noWrap/>
            <w:vAlign w:val="bottom"/>
          </w:tcPr>
          <w:p w:rsidR="007D1244" w:rsidRPr="005906A7" w:rsidRDefault="007D1244" w:rsidP="00350999">
            <w:pPr>
              <w:spacing w:after="0" w:line="240" w:lineRule="auto"/>
              <w:jc w:val="right"/>
              <w:rPr>
                <w:rFonts w:ascii="Garamond" w:hAnsi="Garamond" w:cs="Arial"/>
                <w:sz w:val="24"/>
                <w:szCs w:val="24"/>
                <w:lang w:eastAsia="it-IT"/>
              </w:rPr>
            </w:pPr>
            <w:r w:rsidRPr="005906A7">
              <w:rPr>
                <w:rFonts w:ascii="Garamond" w:hAnsi="Garamond" w:cs="Arial"/>
                <w:sz w:val="24"/>
                <w:szCs w:val="24"/>
                <w:lang w:eastAsia="it-IT"/>
              </w:rPr>
              <w:t>€1.7</w:t>
            </w:r>
            <w:r>
              <w:rPr>
                <w:rFonts w:ascii="Garamond" w:hAnsi="Garamond" w:cs="Arial"/>
                <w:sz w:val="24"/>
                <w:szCs w:val="24"/>
                <w:lang w:eastAsia="it-IT"/>
              </w:rPr>
              <w:t>37</w:t>
            </w:r>
            <w:r w:rsidRPr="005906A7">
              <w:rPr>
                <w:rFonts w:ascii="Garamond" w:hAnsi="Garamond" w:cs="Arial"/>
                <w:sz w:val="24"/>
                <w:szCs w:val="24"/>
                <w:lang w:eastAsia="it-IT"/>
              </w:rPr>
              <w:t>.</w:t>
            </w:r>
            <w:r>
              <w:rPr>
                <w:rFonts w:ascii="Garamond" w:hAnsi="Garamond" w:cs="Arial"/>
                <w:sz w:val="24"/>
                <w:szCs w:val="24"/>
                <w:lang w:eastAsia="it-IT"/>
              </w:rPr>
              <w:t>454</w:t>
            </w:r>
            <w:r w:rsidRPr="005906A7">
              <w:rPr>
                <w:rFonts w:ascii="Garamond" w:hAnsi="Garamond" w:cs="Arial"/>
                <w:sz w:val="24"/>
                <w:szCs w:val="24"/>
                <w:lang w:eastAsia="it-IT"/>
              </w:rPr>
              <w:t>,91</w:t>
            </w:r>
          </w:p>
        </w:tc>
        <w:tc>
          <w:tcPr>
            <w:tcW w:w="1940"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r>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b/>
                <w:bCs/>
                <w:sz w:val="24"/>
                <w:szCs w:val="24"/>
                <w:lang w:eastAsia="it-IT"/>
              </w:rPr>
            </w:pPr>
            <w:r w:rsidRPr="005906A7">
              <w:rPr>
                <w:rFonts w:ascii="Garamond" w:hAnsi="Garamond" w:cs="Arial"/>
                <w:b/>
                <w:bCs/>
                <w:sz w:val="24"/>
                <w:szCs w:val="24"/>
                <w:lang w:eastAsia="it-IT"/>
              </w:rPr>
              <w:t>CONGELAMENTI 35%</w:t>
            </w:r>
          </w:p>
        </w:tc>
        <w:tc>
          <w:tcPr>
            <w:tcW w:w="1423"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jc w:val="right"/>
              <w:rPr>
                <w:rFonts w:ascii="Garamond" w:hAnsi="Garamond" w:cs="Arial"/>
                <w:sz w:val="24"/>
                <w:szCs w:val="24"/>
                <w:lang w:eastAsia="it-IT"/>
              </w:rPr>
            </w:pPr>
            <w:r w:rsidRPr="005906A7">
              <w:rPr>
                <w:rFonts w:ascii="Garamond" w:hAnsi="Garamond" w:cs="Arial"/>
                <w:sz w:val="24"/>
                <w:szCs w:val="24"/>
                <w:lang w:eastAsia="it-IT"/>
              </w:rPr>
              <w:t>€ 93.296,70</w:t>
            </w:r>
          </w:p>
        </w:tc>
        <w:tc>
          <w:tcPr>
            <w:tcW w:w="1940"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r>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SPESA CON CONGELAMENTO</w:t>
            </w:r>
          </w:p>
        </w:tc>
        <w:tc>
          <w:tcPr>
            <w:tcW w:w="1423" w:type="dxa"/>
            <w:tcBorders>
              <w:top w:val="nil"/>
              <w:left w:val="nil"/>
              <w:bottom w:val="single" w:sz="4" w:space="0" w:color="auto"/>
              <w:right w:val="single" w:sz="4" w:space="0" w:color="auto"/>
            </w:tcBorders>
            <w:noWrap/>
            <w:vAlign w:val="bottom"/>
          </w:tcPr>
          <w:p w:rsidR="007D1244" w:rsidRPr="005906A7" w:rsidRDefault="007D1244" w:rsidP="00350999">
            <w:pPr>
              <w:spacing w:after="0" w:line="240" w:lineRule="auto"/>
              <w:jc w:val="right"/>
              <w:rPr>
                <w:rFonts w:ascii="Garamond" w:hAnsi="Garamond" w:cs="Arial"/>
                <w:b/>
                <w:bCs/>
                <w:sz w:val="24"/>
                <w:szCs w:val="24"/>
                <w:lang w:eastAsia="it-IT"/>
              </w:rPr>
            </w:pPr>
            <w:r w:rsidRPr="005906A7">
              <w:rPr>
                <w:rFonts w:ascii="Garamond" w:hAnsi="Garamond" w:cs="Arial"/>
                <w:b/>
                <w:bCs/>
                <w:sz w:val="24"/>
                <w:szCs w:val="24"/>
                <w:lang w:eastAsia="it-IT"/>
              </w:rPr>
              <w:t>€ 1.8</w:t>
            </w:r>
            <w:r>
              <w:rPr>
                <w:rFonts w:ascii="Garamond" w:hAnsi="Garamond" w:cs="Arial"/>
                <w:b/>
                <w:bCs/>
                <w:sz w:val="24"/>
                <w:szCs w:val="24"/>
                <w:lang w:eastAsia="it-IT"/>
              </w:rPr>
              <w:t>30</w:t>
            </w:r>
            <w:r w:rsidRPr="005906A7">
              <w:rPr>
                <w:rFonts w:ascii="Garamond" w:hAnsi="Garamond" w:cs="Arial"/>
                <w:b/>
                <w:bCs/>
                <w:sz w:val="24"/>
                <w:szCs w:val="24"/>
                <w:lang w:eastAsia="it-IT"/>
              </w:rPr>
              <w:t>.</w:t>
            </w:r>
            <w:r>
              <w:rPr>
                <w:rFonts w:ascii="Garamond" w:hAnsi="Garamond" w:cs="Arial"/>
                <w:b/>
                <w:bCs/>
                <w:sz w:val="24"/>
                <w:szCs w:val="24"/>
                <w:lang w:eastAsia="it-IT"/>
              </w:rPr>
              <w:t>969,</w:t>
            </w:r>
            <w:r w:rsidRPr="005906A7">
              <w:rPr>
                <w:rFonts w:ascii="Garamond" w:hAnsi="Garamond" w:cs="Arial"/>
                <w:b/>
                <w:bCs/>
                <w:sz w:val="24"/>
                <w:szCs w:val="24"/>
                <w:lang w:eastAsia="it-IT"/>
              </w:rPr>
              <w:t>61</w:t>
            </w:r>
          </w:p>
        </w:tc>
        <w:tc>
          <w:tcPr>
            <w:tcW w:w="1940"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r>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c>
          <w:tcPr>
            <w:tcW w:w="1423"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c>
          <w:tcPr>
            <w:tcW w:w="1940"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r>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b/>
                <w:bCs/>
                <w:sz w:val="24"/>
                <w:szCs w:val="24"/>
                <w:lang w:eastAsia="it-IT"/>
              </w:rPr>
            </w:pPr>
            <w:r w:rsidRPr="005906A7">
              <w:rPr>
                <w:rFonts w:ascii="Garamond" w:hAnsi="Garamond" w:cs="Arial"/>
                <w:b/>
                <w:bCs/>
                <w:sz w:val="24"/>
                <w:szCs w:val="24"/>
                <w:lang w:eastAsia="it-IT"/>
              </w:rPr>
              <w:t>SPOSTAMENTI</w:t>
            </w:r>
            <w:r>
              <w:rPr>
                <w:rFonts w:ascii="Garamond" w:hAnsi="Garamond" w:cs="Arial"/>
                <w:b/>
                <w:bCs/>
                <w:sz w:val="24"/>
                <w:szCs w:val="24"/>
                <w:lang w:eastAsia="it-IT"/>
              </w:rPr>
              <w:t xml:space="preserve"> dal fondo art. 91 al fondo art 90</w:t>
            </w:r>
          </w:p>
        </w:tc>
        <w:tc>
          <w:tcPr>
            <w:tcW w:w="1423"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jc w:val="right"/>
              <w:rPr>
                <w:rFonts w:ascii="Garamond" w:hAnsi="Garamond" w:cs="Arial"/>
                <w:b/>
                <w:bCs/>
                <w:color w:val="FF0000"/>
                <w:sz w:val="24"/>
                <w:szCs w:val="24"/>
                <w:lang w:eastAsia="it-IT"/>
              </w:rPr>
            </w:pPr>
            <w:r w:rsidRPr="005906A7">
              <w:rPr>
                <w:rFonts w:ascii="Garamond" w:hAnsi="Garamond" w:cs="Arial"/>
                <w:b/>
                <w:bCs/>
                <w:color w:val="FF0000"/>
                <w:sz w:val="24"/>
                <w:szCs w:val="24"/>
                <w:lang w:eastAsia="it-IT"/>
              </w:rPr>
              <w:t>2022</w:t>
            </w:r>
          </w:p>
        </w:tc>
        <w:tc>
          <w:tcPr>
            <w:tcW w:w="1940"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jc w:val="right"/>
              <w:rPr>
                <w:rFonts w:ascii="Garamond" w:hAnsi="Garamond" w:cs="Arial"/>
                <w:b/>
                <w:bCs/>
                <w:color w:val="FF0000"/>
                <w:sz w:val="24"/>
                <w:szCs w:val="24"/>
                <w:lang w:eastAsia="it-IT"/>
              </w:rPr>
            </w:pPr>
            <w:r w:rsidRPr="005906A7">
              <w:rPr>
                <w:rFonts w:ascii="Garamond" w:hAnsi="Garamond" w:cs="Arial"/>
                <w:b/>
                <w:bCs/>
                <w:color w:val="FF0000"/>
                <w:sz w:val="24"/>
                <w:szCs w:val="24"/>
                <w:lang w:eastAsia="it-IT"/>
              </w:rPr>
              <w:t>2023</w:t>
            </w:r>
          </w:p>
        </w:tc>
      </w:tr>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COSTO PESATURE E PORTAFOGLI</w:t>
            </w:r>
          </w:p>
        </w:tc>
        <w:tc>
          <w:tcPr>
            <w:tcW w:w="1423" w:type="dxa"/>
            <w:tcBorders>
              <w:top w:val="nil"/>
              <w:left w:val="nil"/>
              <w:bottom w:val="single" w:sz="4" w:space="0" w:color="auto"/>
              <w:right w:val="single" w:sz="4" w:space="0" w:color="auto"/>
            </w:tcBorders>
            <w:noWrap/>
            <w:vAlign w:val="bottom"/>
          </w:tcPr>
          <w:p w:rsidR="007D1244" w:rsidRPr="005906A7" w:rsidRDefault="007D1244" w:rsidP="00350999">
            <w:pPr>
              <w:spacing w:after="0" w:line="240" w:lineRule="auto"/>
              <w:jc w:val="right"/>
              <w:rPr>
                <w:rFonts w:ascii="Garamond" w:hAnsi="Garamond" w:cs="Arial"/>
                <w:sz w:val="24"/>
                <w:szCs w:val="24"/>
                <w:lang w:eastAsia="it-IT"/>
              </w:rPr>
            </w:pPr>
            <w:r w:rsidRPr="005906A7">
              <w:rPr>
                <w:rFonts w:ascii="Garamond" w:hAnsi="Garamond" w:cs="Arial"/>
                <w:sz w:val="24"/>
                <w:szCs w:val="24"/>
                <w:lang w:eastAsia="it-IT"/>
              </w:rPr>
              <w:t xml:space="preserve">€ </w:t>
            </w:r>
            <w:r>
              <w:rPr>
                <w:rFonts w:ascii="Garamond" w:hAnsi="Garamond" w:cs="Arial"/>
                <w:sz w:val="24"/>
                <w:szCs w:val="24"/>
                <w:lang w:eastAsia="it-IT"/>
              </w:rPr>
              <w:t>70</w:t>
            </w:r>
            <w:r w:rsidRPr="005906A7">
              <w:rPr>
                <w:rFonts w:ascii="Garamond" w:hAnsi="Garamond" w:cs="Arial"/>
                <w:sz w:val="24"/>
                <w:szCs w:val="24"/>
                <w:lang w:eastAsia="it-IT"/>
              </w:rPr>
              <w:t>.407,38</w:t>
            </w:r>
          </w:p>
        </w:tc>
        <w:tc>
          <w:tcPr>
            <w:tcW w:w="1940" w:type="dxa"/>
            <w:tcBorders>
              <w:top w:val="nil"/>
              <w:left w:val="nil"/>
              <w:bottom w:val="single" w:sz="4" w:space="0" w:color="auto"/>
              <w:right w:val="single" w:sz="4" w:space="0" w:color="auto"/>
            </w:tcBorders>
            <w:noWrap/>
            <w:vAlign w:val="bottom"/>
          </w:tcPr>
          <w:p w:rsidR="007D1244" w:rsidRPr="005906A7" w:rsidRDefault="007D1244" w:rsidP="00350999">
            <w:pPr>
              <w:spacing w:after="0" w:line="240" w:lineRule="auto"/>
              <w:jc w:val="right"/>
              <w:rPr>
                <w:rFonts w:ascii="Garamond" w:hAnsi="Garamond" w:cs="Arial"/>
                <w:sz w:val="24"/>
                <w:szCs w:val="24"/>
                <w:lang w:eastAsia="it-IT"/>
              </w:rPr>
            </w:pPr>
            <w:r w:rsidRPr="005906A7">
              <w:rPr>
                <w:rFonts w:ascii="Garamond" w:hAnsi="Garamond" w:cs="Arial"/>
                <w:sz w:val="24"/>
                <w:szCs w:val="24"/>
                <w:lang w:eastAsia="it-IT"/>
              </w:rPr>
              <w:t>€1</w:t>
            </w:r>
            <w:r>
              <w:rPr>
                <w:rFonts w:ascii="Garamond" w:hAnsi="Garamond" w:cs="Arial"/>
                <w:sz w:val="24"/>
                <w:szCs w:val="24"/>
                <w:lang w:eastAsia="it-IT"/>
              </w:rPr>
              <w:t>66</w:t>
            </w:r>
            <w:r w:rsidRPr="005906A7">
              <w:rPr>
                <w:rFonts w:ascii="Garamond" w:hAnsi="Garamond" w:cs="Arial"/>
                <w:sz w:val="24"/>
                <w:szCs w:val="24"/>
                <w:lang w:eastAsia="it-IT"/>
              </w:rPr>
              <w:t>.</w:t>
            </w:r>
            <w:r>
              <w:rPr>
                <w:rFonts w:ascii="Garamond" w:hAnsi="Garamond" w:cs="Arial"/>
                <w:sz w:val="24"/>
                <w:szCs w:val="24"/>
                <w:lang w:eastAsia="it-IT"/>
              </w:rPr>
              <w:t>575</w:t>
            </w:r>
            <w:r w:rsidRPr="005906A7">
              <w:rPr>
                <w:rFonts w:ascii="Garamond" w:hAnsi="Garamond" w:cs="Arial"/>
                <w:sz w:val="24"/>
                <w:szCs w:val="24"/>
                <w:lang w:eastAsia="it-IT"/>
              </w:rPr>
              <w:t>,38</w:t>
            </w:r>
          </w:p>
        </w:tc>
      </w:tr>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c>
          <w:tcPr>
            <w:tcW w:w="1423"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c>
          <w:tcPr>
            <w:tcW w:w="1940" w:type="dxa"/>
            <w:tcBorders>
              <w:top w:val="nil"/>
              <w:left w:val="nil"/>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 </w:t>
            </w:r>
          </w:p>
        </w:tc>
      </w:tr>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5906A7" w:rsidRDefault="007D1244" w:rsidP="005906A7">
            <w:pPr>
              <w:spacing w:after="0" w:line="240" w:lineRule="auto"/>
              <w:rPr>
                <w:rFonts w:ascii="Garamond" w:hAnsi="Garamond" w:cs="Arial"/>
                <w:sz w:val="24"/>
                <w:szCs w:val="24"/>
                <w:lang w:eastAsia="it-IT"/>
              </w:rPr>
            </w:pPr>
            <w:r w:rsidRPr="005906A7">
              <w:rPr>
                <w:rFonts w:ascii="Garamond" w:hAnsi="Garamond" w:cs="Arial"/>
                <w:sz w:val="24"/>
                <w:szCs w:val="24"/>
                <w:lang w:eastAsia="it-IT"/>
              </w:rPr>
              <w:t>FONDO  ART 90</w:t>
            </w:r>
          </w:p>
        </w:tc>
        <w:tc>
          <w:tcPr>
            <w:tcW w:w="1423" w:type="dxa"/>
            <w:tcBorders>
              <w:top w:val="nil"/>
              <w:left w:val="nil"/>
              <w:bottom w:val="single" w:sz="4" w:space="0" w:color="auto"/>
              <w:right w:val="single" w:sz="4" w:space="0" w:color="auto"/>
            </w:tcBorders>
            <w:noWrap/>
            <w:vAlign w:val="bottom"/>
          </w:tcPr>
          <w:p w:rsidR="007D1244" w:rsidRPr="005906A7" w:rsidRDefault="007D1244" w:rsidP="00350999">
            <w:pPr>
              <w:spacing w:after="0" w:line="240" w:lineRule="auto"/>
              <w:jc w:val="right"/>
              <w:rPr>
                <w:rFonts w:ascii="Garamond" w:hAnsi="Garamond" w:cs="Arial"/>
                <w:sz w:val="24"/>
                <w:szCs w:val="24"/>
                <w:lang w:eastAsia="it-IT"/>
              </w:rPr>
            </w:pPr>
            <w:r w:rsidRPr="005906A7">
              <w:rPr>
                <w:rFonts w:ascii="Garamond" w:hAnsi="Garamond" w:cs="Arial"/>
                <w:sz w:val="24"/>
                <w:szCs w:val="24"/>
                <w:lang w:eastAsia="it-IT"/>
              </w:rPr>
              <w:t>€ 1.73</w:t>
            </w:r>
            <w:r>
              <w:rPr>
                <w:rFonts w:ascii="Garamond" w:hAnsi="Garamond" w:cs="Arial"/>
                <w:sz w:val="24"/>
                <w:szCs w:val="24"/>
                <w:lang w:eastAsia="it-IT"/>
              </w:rPr>
              <w:t>4</w:t>
            </w:r>
            <w:r w:rsidRPr="005906A7">
              <w:rPr>
                <w:rFonts w:ascii="Garamond" w:hAnsi="Garamond" w:cs="Arial"/>
                <w:sz w:val="24"/>
                <w:szCs w:val="24"/>
                <w:lang w:eastAsia="it-IT"/>
              </w:rPr>
              <w:t>.801,61</w:t>
            </w:r>
          </w:p>
        </w:tc>
        <w:tc>
          <w:tcPr>
            <w:tcW w:w="1940" w:type="dxa"/>
            <w:tcBorders>
              <w:top w:val="nil"/>
              <w:left w:val="nil"/>
              <w:bottom w:val="single" w:sz="4" w:space="0" w:color="auto"/>
              <w:right w:val="single" w:sz="4" w:space="0" w:color="auto"/>
            </w:tcBorders>
            <w:noWrap/>
            <w:vAlign w:val="bottom"/>
          </w:tcPr>
          <w:p w:rsidR="007D1244" w:rsidRPr="005906A7" w:rsidRDefault="007D1244" w:rsidP="00350999">
            <w:pPr>
              <w:spacing w:after="0" w:line="240" w:lineRule="auto"/>
              <w:jc w:val="right"/>
              <w:rPr>
                <w:rFonts w:ascii="Garamond" w:hAnsi="Garamond" w:cs="Arial"/>
                <w:sz w:val="24"/>
                <w:szCs w:val="24"/>
                <w:lang w:eastAsia="it-IT"/>
              </w:rPr>
            </w:pPr>
            <w:r w:rsidRPr="005906A7">
              <w:rPr>
                <w:rFonts w:ascii="Garamond" w:hAnsi="Garamond" w:cs="Arial"/>
                <w:sz w:val="24"/>
                <w:szCs w:val="24"/>
                <w:lang w:eastAsia="it-IT"/>
              </w:rPr>
              <w:t>€1.8</w:t>
            </w:r>
            <w:r>
              <w:rPr>
                <w:rFonts w:ascii="Garamond" w:hAnsi="Garamond" w:cs="Arial"/>
                <w:sz w:val="24"/>
                <w:szCs w:val="24"/>
                <w:lang w:eastAsia="it-IT"/>
              </w:rPr>
              <w:t>30</w:t>
            </w:r>
            <w:r w:rsidRPr="005906A7">
              <w:rPr>
                <w:rFonts w:ascii="Garamond" w:hAnsi="Garamond" w:cs="Arial"/>
                <w:sz w:val="24"/>
                <w:szCs w:val="24"/>
                <w:lang w:eastAsia="it-IT"/>
              </w:rPr>
              <w:t>.</w:t>
            </w:r>
            <w:r>
              <w:rPr>
                <w:rFonts w:ascii="Garamond" w:hAnsi="Garamond" w:cs="Arial"/>
                <w:sz w:val="24"/>
                <w:szCs w:val="24"/>
                <w:lang w:eastAsia="it-IT"/>
              </w:rPr>
              <w:t>969</w:t>
            </w:r>
            <w:r w:rsidRPr="005906A7">
              <w:rPr>
                <w:rFonts w:ascii="Garamond" w:hAnsi="Garamond" w:cs="Arial"/>
                <w:sz w:val="24"/>
                <w:szCs w:val="24"/>
                <w:lang w:eastAsia="it-IT"/>
              </w:rPr>
              <w:t>,61</w:t>
            </w:r>
          </w:p>
        </w:tc>
        <w:bookmarkStart w:id="0" w:name="_GoBack"/>
        <w:bookmarkEnd w:id="0"/>
      </w:tr>
      <w:tr w:rsidR="007D1244" w:rsidRPr="005906A7" w:rsidTr="005906A7">
        <w:trPr>
          <w:trHeight w:val="255"/>
        </w:trPr>
        <w:tc>
          <w:tcPr>
            <w:tcW w:w="3640" w:type="dxa"/>
            <w:tcBorders>
              <w:top w:val="nil"/>
              <w:left w:val="single" w:sz="4" w:space="0" w:color="auto"/>
              <w:bottom w:val="single" w:sz="4" w:space="0" w:color="auto"/>
              <w:right w:val="single" w:sz="4" w:space="0" w:color="auto"/>
            </w:tcBorders>
            <w:noWrap/>
            <w:vAlign w:val="bottom"/>
          </w:tcPr>
          <w:p w:rsidR="007D1244" w:rsidRPr="00FA1D3A" w:rsidRDefault="007D1244" w:rsidP="005906A7">
            <w:pPr>
              <w:spacing w:after="0" w:line="240" w:lineRule="auto"/>
              <w:rPr>
                <w:rFonts w:ascii="Garamond" w:hAnsi="Garamond" w:cs="Arial"/>
                <w:sz w:val="24"/>
                <w:szCs w:val="24"/>
                <w:lang w:eastAsia="it-IT"/>
              </w:rPr>
            </w:pPr>
            <w:r w:rsidRPr="00FA1D3A">
              <w:rPr>
                <w:rFonts w:ascii="Garamond" w:hAnsi="Garamond" w:cs="Arial"/>
                <w:sz w:val="24"/>
                <w:szCs w:val="24"/>
                <w:lang w:eastAsia="it-IT"/>
              </w:rPr>
              <w:t>FONDO ART 91</w:t>
            </w:r>
          </w:p>
        </w:tc>
        <w:tc>
          <w:tcPr>
            <w:tcW w:w="1423" w:type="dxa"/>
            <w:tcBorders>
              <w:top w:val="nil"/>
              <w:left w:val="nil"/>
              <w:bottom w:val="single" w:sz="4" w:space="0" w:color="auto"/>
              <w:right w:val="single" w:sz="4" w:space="0" w:color="auto"/>
            </w:tcBorders>
            <w:noWrap/>
            <w:vAlign w:val="bottom"/>
          </w:tcPr>
          <w:p w:rsidR="007D1244" w:rsidRPr="005906A7" w:rsidRDefault="007D1244" w:rsidP="00350999">
            <w:pPr>
              <w:spacing w:after="0" w:line="240" w:lineRule="auto"/>
              <w:jc w:val="right"/>
              <w:rPr>
                <w:rFonts w:ascii="Arial" w:hAnsi="Arial" w:cs="Arial"/>
                <w:sz w:val="20"/>
                <w:szCs w:val="20"/>
                <w:lang w:eastAsia="it-IT"/>
              </w:rPr>
            </w:pPr>
            <w:r w:rsidRPr="005906A7">
              <w:rPr>
                <w:rFonts w:ascii="Arial" w:hAnsi="Arial" w:cs="Arial"/>
                <w:sz w:val="20"/>
                <w:szCs w:val="20"/>
                <w:lang w:eastAsia="it-IT"/>
              </w:rPr>
              <w:t>€ 57</w:t>
            </w:r>
            <w:r>
              <w:rPr>
                <w:rFonts w:ascii="Arial" w:hAnsi="Arial" w:cs="Arial"/>
                <w:sz w:val="20"/>
                <w:szCs w:val="20"/>
                <w:lang w:eastAsia="it-IT"/>
              </w:rPr>
              <w:t>6</w:t>
            </w:r>
            <w:r w:rsidRPr="005906A7">
              <w:rPr>
                <w:rFonts w:ascii="Arial" w:hAnsi="Arial" w:cs="Arial"/>
                <w:sz w:val="20"/>
                <w:szCs w:val="20"/>
                <w:lang w:eastAsia="it-IT"/>
              </w:rPr>
              <w:t>.906,99</w:t>
            </w:r>
          </w:p>
        </w:tc>
        <w:tc>
          <w:tcPr>
            <w:tcW w:w="1940" w:type="dxa"/>
            <w:tcBorders>
              <w:top w:val="nil"/>
              <w:left w:val="nil"/>
              <w:bottom w:val="single" w:sz="4" w:space="0" w:color="auto"/>
              <w:right w:val="single" w:sz="4" w:space="0" w:color="auto"/>
            </w:tcBorders>
            <w:noWrap/>
            <w:vAlign w:val="bottom"/>
          </w:tcPr>
          <w:p w:rsidR="007D1244" w:rsidRPr="005906A7" w:rsidRDefault="007D1244" w:rsidP="00350999">
            <w:pPr>
              <w:spacing w:after="0" w:line="240" w:lineRule="auto"/>
              <w:jc w:val="right"/>
              <w:rPr>
                <w:rFonts w:ascii="Arial" w:hAnsi="Arial" w:cs="Arial"/>
                <w:sz w:val="20"/>
                <w:szCs w:val="20"/>
                <w:lang w:eastAsia="it-IT"/>
              </w:rPr>
            </w:pPr>
            <w:r w:rsidRPr="005906A7">
              <w:rPr>
                <w:rFonts w:ascii="Garamond" w:hAnsi="Garamond" w:cs="Arial"/>
                <w:sz w:val="24"/>
                <w:szCs w:val="24"/>
                <w:lang w:eastAsia="it-IT"/>
              </w:rPr>
              <w:t>€</w:t>
            </w:r>
            <w:r w:rsidRPr="005906A7">
              <w:rPr>
                <w:rFonts w:ascii="Arial" w:hAnsi="Arial" w:cs="Arial"/>
                <w:sz w:val="20"/>
                <w:szCs w:val="20"/>
                <w:lang w:eastAsia="it-IT"/>
              </w:rPr>
              <w:t>4</w:t>
            </w:r>
            <w:r>
              <w:rPr>
                <w:rFonts w:ascii="Arial" w:hAnsi="Arial" w:cs="Arial"/>
                <w:sz w:val="20"/>
                <w:szCs w:val="20"/>
                <w:lang w:eastAsia="it-IT"/>
              </w:rPr>
              <w:t>80</w:t>
            </w:r>
            <w:r w:rsidRPr="005906A7">
              <w:rPr>
                <w:rFonts w:ascii="Arial" w:hAnsi="Arial" w:cs="Arial"/>
                <w:sz w:val="20"/>
                <w:szCs w:val="20"/>
                <w:lang w:eastAsia="it-IT"/>
              </w:rPr>
              <w:t>.</w:t>
            </w:r>
            <w:r>
              <w:rPr>
                <w:rFonts w:ascii="Arial" w:hAnsi="Arial" w:cs="Arial"/>
                <w:sz w:val="20"/>
                <w:szCs w:val="20"/>
                <w:lang w:eastAsia="it-IT"/>
              </w:rPr>
              <w:t>738</w:t>
            </w:r>
            <w:r w:rsidRPr="005906A7">
              <w:rPr>
                <w:rFonts w:ascii="Arial" w:hAnsi="Arial" w:cs="Arial"/>
                <w:sz w:val="20"/>
                <w:szCs w:val="20"/>
                <w:lang w:eastAsia="it-IT"/>
              </w:rPr>
              <w:t>,99</w:t>
            </w:r>
          </w:p>
        </w:tc>
      </w:tr>
    </w:tbl>
    <w:p w:rsidR="007D1244" w:rsidRPr="00E23B7A" w:rsidRDefault="007D1244" w:rsidP="00E23B7A">
      <w:pPr>
        <w:jc w:val="both"/>
        <w:rPr>
          <w:rFonts w:ascii="Garamond" w:hAnsi="Garamond"/>
          <w:sz w:val="28"/>
          <w:szCs w:val="28"/>
        </w:rPr>
      </w:pPr>
    </w:p>
    <w:p w:rsidR="007D1244" w:rsidRDefault="007D1244" w:rsidP="00F46C90">
      <w:pPr>
        <w:jc w:val="both"/>
        <w:rPr>
          <w:rFonts w:ascii="Garamond" w:hAnsi="Garamond"/>
          <w:b/>
          <w:bCs/>
          <w:sz w:val="28"/>
          <w:szCs w:val="28"/>
        </w:rPr>
      </w:pPr>
      <w:r w:rsidRPr="00C41150">
        <w:rPr>
          <w:rFonts w:ascii="Garamond" w:hAnsi="Garamond"/>
          <w:b/>
          <w:bCs/>
          <w:sz w:val="28"/>
          <w:szCs w:val="28"/>
        </w:rPr>
        <w:t>ART. 11 CLAUSOLA DI SALVAGUARDIA ECONOMICA (art. 66</w:t>
      </w:r>
      <w:r>
        <w:rPr>
          <w:rFonts w:ascii="Garamond" w:hAnsi="Garamond"/>
          <w:b/>
          <w:bCs/>
          <w:sz w:val="28"/>
          <w:szCs w:val="28"/>
        </w:rPr>
        <w:t xml:space="preserve"> comma 1 lett. g)).</w:t>
      </w:r>
    </w:p>
    <w:p w:rsidR="007D1244" w:rsidRDefault="007D1244" w:rsidP="007A554D">
      <w:pPr>
        <w:jc w:val="both"/>
        <w:rPr>
          <w:rFonts w:ascii="Garamond" w:hAnsi="Garamond"/>
          <w:sz w:val="28"/>
          <w:szCs w:val="28"/>
        </w:rPr>
      </w:pPr>
      <w:r w:rsidRPr="001F1CA0">
        <w:rPr>
          <w:rFonts w:ascii="Garamond" w:hAnsi="Garamond"/>
          <w:sz w:val="28"/>
          <w:szCs w:val="28"/>
        </w:rPr>
        <w:t>Ai fini della applicazione del comma 5 art. 31 del CCNL 2016/2018 con riferimento ai criteri per la determinazione della percentuale di riduzione le part</w:t>
      </w:r>
      <w:r>
        <w:rPr>
          <w:rFonts w:ascii="Garamond" w:hAnsi="Garamond"/>
          <w:sz w:val="28"/>
          <w:szCs w:val="28"/>
        </w:rPr>
        <w:t>i</w:t>
      </w:r>
      <w:r w:rsidRPr="001F1CA0">
        <w:rPr>
          <w:rFonts w:ascii="Garamond" w:hAnsi="Garamond"/>
          <w:sz w:val="28"/>
          <w:szCs w:val="28"/>
        </w:rPr>
        <w:t xml:space="preserve"> concordano che nel caso di conferimento di incarico con retribuzione di posizione inferiore</w:t>
      </w:r>
      <w:r>
        <w:rPr>
          <w:rFonts w:ascii="Garamond" w:hAnsi="Garamond"/>
          <w:sz w:val="28"/>
          <w:szCs w:val="28"/>
        </w:rPr>
        <w:t xml:space="preserve"> ( ad eccezione degli incarichi di area dipartimentale e di Dipartimento) il dirigente mantiene la retribuzione di posizione percepita fino alla originaria scadenza del precedente incarico</w:t>
      </w:r>
      <w:r w:rsidRPr="001F1CA0">
        <w:rPr>
          <w:rFonts w:ascii="Garamond" w:hAnsi="Garamond"/>
          <w:sz w:val="28"/>
          <w:szCs w:val="28"/>
        </w:rPr>
        <w:t xml:space="preserve"> e l’integrazione viene corrisposta prelevando l’importo corrispondente dal Fondo della retribuzione di risultato. </w:t>
      </w:r>
    </w:p>
    <w:p w:rsidR="007D1244" w:rsidRPr="00CB0C3C" w:rsidRDefault="007D1244" w:rsidP="00CB0C3C">
      <w:pPr>
        <w:jc w:val="both"/>
        <w:rPr>
          <w:rFonts w:ascii="Garamond" w:hAnsi="Garamond"/>
          <w:b/>
          <w:bCs/>
          <w:sz w:val="28"/>
          <w:szCs w:val="28"/>
        </w:rPr>
      </w:pPr>
      <w:r w:rsidRPr="00C41150">
        <w:rPr>
          <w:rFonts w:ascii="Garamond" w:hAnsi="Garamond"/>
          <w:b/>
          <w:bCs/>
          <w:sz w:val="28"/>
          <w:szCs w:val="28"/>
        </w:rPr>
        <w:t>ART. 12 CONTINGENTI DI PERSONALE - SERVIZI MINIMI ESSENZIALI IN OCCASIONE DI SCIOPERO (Art. 66, lett. f CCNL)</w:t>
      </w:r>
      <w:r w:rsidRPr="00CB0C3C">
        <w:rPr>
          <w:rFonts w:ascii="Garamond" w:hAnsi="Garamond"/>
          <w:b/>
          <w:bCs/>
          <w:sz w:val="28"/>
          <w:szCs w:val="28"/>
        </w:rPr>
        <w:t xml:space="preserve"> </w:t>
      </w:r>
    </w:p>
    <w:p w:rsidR="007D1244" w:rsidRPr="00CB0C3C" w:rsidRDefault="007D1244" w:rsidP="00CB0C3C">
      <w:pPr>
        <w:jc w:val="both"/>
        <w:rPr>
          <w:rFonts w:ascii="Garamond" w:hAnsi="Garamond"/>
          <w:sz w:val="28"/>
          <w:szCs w:val="28"/>
        </w:rPr>
      </w:pPr>
      <w:r w:rsidRPr="00CB0C3C">
        <w:rPr>
          <w:rFonts w:ascii="Garamond" w:hAnsi="Garamond"/>
          <w:sz w:val="28"/>
          <w:szCs w:val="28"/>
        </w:rPr>
        <w:t xml:space="preserve">Ai sensi degli articoli 1 e 2 della L. 146-1990 e dell’art. 3 CCNL 25-09-2001 ex AREA III, sono individuati i seguenti contingenti di Dirigenti PTA esonerati dallo sciopero per garantire la continuità delle relative prestazioni indispensabili: </w:t>
      </w:r>
    </w:p>
    <w:p w:rsidR="007D1244" w:rsidRPr="00CB0C3C" w:rsidRDefault="007D1244" w:rsidP="00CB0C3C">
      <w:pPr>
        <w:jc w:val="both"/>
        <w:rPr>
          <w:rFonts w:ascii="Garamond" w:hAnsi="Garamond"/>
          <w:sz w:val="28"/>
          <w:szCs w:val="28"/>
        </w:rPr>
      </w:pPr>
      <w:r w:rsidRPr="00CB0C3C">
        <w:rPr>
          <w:rFonts w:ascii="Garamond" w:hAnsi="Garamond"/>
          <w:sz w:val="28"/>
          <w:szCs w:val="28"/>
        </w:rPr>
        <w:t>- igiene e sanità pubblica: referti, denunce, certificazioni ed attività connesse all’emanazione di provvedimenti contingibili e urgenti; controllo per la prevenzione dei rischi ambientali: n. 1 Dirigente;</w:t>
      </w:r>
    </w:p>
    <w:p w:rsidR="007D1244" w:rsidRPr="00CB0C3C" w:rsidRDefault="007D1244" w:rsidP="00CB0C3C">
      <w:pPr>
        <w:jc w:val="both"/>
        <w:rPr>
          <w:rFonts w:ascii="Garamond" w:hAnsi="Garamond"/>
          <w:sz w:val="28"/>
          <w:szCs w:val="28"/>
        </w:rPr>
      </w:pPr>
      <w:r w:rsidRPr="00CB0C3C">
        <w:rPr>
          <w:rFonts w:ascii="Garamond" w:hAnsi="Garamond"/>
          <w:sz w:val="28"/>
          <w:szCs w:val="28"/>
        </w:rPr>
        <w:t xml:space="preserve">- distribuzione di energia, gestione e manutenzione di impianti tecnologici: attività connesse alla funzionalità delle centrali termoidrauliche e degli impianti tecnologici necessari per l’espletamento delle prestazioni istituzionali e per la vigilanza su sicurezza e salute nei luoghi di lavoro: n. 1 Dirigente UOC DIPARTIMENTO TECNICO E DEL PATRIMONIO, n. 1 Dirigente Servizio prevenzione e protezione; </w:t>
      </w:r>
    </w:p>
    <w:p w:rsidR="007D1244" w:rsidRPr="00CB0C3C" w:rsidRDefault="007D1244" w:rsidP="000E5C5D">
      <w:pPr>
        <w:jc w:val="both"/>
        <w:rPr>
          <w:rFonts w:ascii="Garamond" w:hAnsi="Garamond"/>
          <w:sz w:val="28"/>
          <w:szCs w:val="28"/>
        </w:rPr>
      </w:pPr>
      <w:r w:rsidRPr="00CB0C3C">
        <w:rPr>
          <w:rFonts w:ascii="Garamond" w:hAnsi="Garamond"/>
          <w:sz w:val="28"/>
          <w:szCs w:val="28"/>
        </w:rPr>
        <w:t xml:space="preserve">- attività connesse alla fornitura di servizi essenziali di supporto per la gestione ed erogazione dei servizi quali portierato, interventi di pulizia e sanificazione (anche extra orario contrattuale dovuti a ragioni di urgenza), trasporto tamponi e prelievi, nonché gestione degli stessi servizi sanitari resi da terzi quali ad esempio: n. 1 dirigente Dipartimento economico; </w:t>
      </w:r>
    </w:p>
    <w:p w:rsidR="007D1244" w:rsidRPr="00CB0C3C" w:rsidRDefault="007D1244" w:rsidP="00CB0C3C">
      <w:pPr>
        <w:jc w:val="both"/>
        <w:rPr>
          <w:rFonts w:ascii="Garamond" w:hAnsi="Garamond"/>
          <w:sz w:val="28"/>
          <w:szCs w:val="28"/>
        </w:rPr>
      </w:pPr>
      <w:r w:rsidRPr="00CB0C3C">
        <w:rPr>
          <w:rFonts w:ascii="Garamond" w:hAnsi="Garamond"/>
          <w:sz w:val="28"/>
          <w:szCs w:val="28"/>
        </w:rPr>
        <w:t xml:space="preserve">- erogazione di assegni e di indennità con funzioni di sostentamento: attività dei servizi coinvolti nei procedimenti di erogazione degli emolumenti retributivi e dei versamenti previdenziali, erariali e conto terzi: n. 1 Dirigente Dipartimento Risorse Umane, n. 1 Dirigente Dipartimento economico </w:t>
      </w:r>
    </w:p>
    <w:p w:rsidR="007D1244" w:rsidRPr="00CB0C3C" w:rsidRDefault="007D1244" w:rsidP="00CB0C3C">
      <w:pPr>
        <w:jc w:val="both"/>
        <w:rPr>
          <w:rFonts w:ascii="Garamond" w:hAnsi="Garamond"/>
          <w:sz w:val="28"/>
          <w:szCs w:val="28"/>
        </w:rPr>
      </w:pPr>
      <w:r w:rsidRPr="00CB0C3C">
        <w:rPr>
          <w:rFonts w:ascii="Garamond" w:hAnsi="Garamond"/>
          <w:sz w:val="28"/>
          <w:szCs w:val="28"/>
        </w:rPr>
        <w:t xml:space="preserve">- servizi gestionali generali afferenti ed a supporto del funzionamento della Direzione aziendale: n. 1 Dirigente Dipartimento Servizi generali </w:t>
      </w:r>
    </w:p>
    <w:p w:rsidR="007D1244" w:rsidRPr="00CB0C3C" w:rsidRDefault="007D1244" w:rsidP="00CB0C3C">
      <w:pPr>
        <w:jc w:val="both"/>
        <w:rPr>
          <w:rFonts w:ascii="Garamond" w:hAnsi="Garamond"/>
          <w:sz w:val="28"/>
          <w:szCs w:val="28"/>
        </w:rPr>
      </w:pPr>
      <w:r w:rsidRPr="00CB0C3C">
        <w:rPr>
          <w:rFonts w:ascii="Garamond" w:hAnsi="Garamond"/>
          <w:sz w:val="28"/>
          <w:szCs w:val="28"/>
        </w:rPr>
        <w:t>I Dirigenti PTA individuati nel comma precedente assicurano la propria operatività, anche in modalità remota, in base al normale espletamento dell’orario di lavoro, assicurando le attività gestionali o professionali competenza delle strutture di afferenza in ragione dell’incarico ricoperto. A prescindere dal caso di sciopero, i contingenti di cui al presente articolo devono ritenersi riferiti anche alle attività svolte nei giorni festivi.</w:t>
      </w:r>
    </w:p>
    <w:p w:rsidR="007D1244" w:rsidRPr="00CB0C3C" w:rsidRDefault="007D1244" w:rsidP="001F1CA0">
      <w:pPr>
        <w:jc w:val="both"/>
        <w:rPr>
          <w:rFonts w:ascii="Garamond" w:hAnsi="Garamond"/>
          <w:b/>
          <w:bCs/>
          <w:sz w:val="28"/>
          <w:szCs w:val="28"/>
        </w:rPr>
      </w:pPr>
      <w:r w:rsidRPr="00C41150">
        <w:rPr>
          <w:rFonts w:ascii="Garamond" w:hAnsi="Garamond"/>
          <w:b/>
          <w:bCs/>
          <w:sz w:val="28"/>
          <w:szCs w:val="28"/>
        </w:rPr>
        <w:t>ART. 13 DISPOSIZIONI CONCLUSIVE</w:t>
      </w:r>
    </w:p>
    <w:p w:rsidR="007D1244" w:rsidRDefault="007D1244" w:rsidP="001F1CA0">
      <w:pPr>
        <w:jc w:val="both"/>
        <w:rPr>
          <w:rFonts w:ascii="Garamond" w:hAnsi="Garamond"/>
          <w:sz w:val="28"/>
          <w:szCs w:val="28"/>
        </w:rPr>
      </w:pPr>
      <w:r>
        <w:rPr>
          <w:rFonts w:ascii="Garamond" w:hAnsi="Garamond"/>
          <w:sz w:val="28"/>
          <w:szCs w:val="28"/>
        </w:rPr>
        <w:t>Con il presente contratto integrativo si intendono superate le precedenti disposizioni contrattuali integrative .</w:t>
      </w:r>
    </w:p>
    <w:p w:rsidR="007D1244" w:rsidRDefault="007D1244" w:rsidP="001F1CA0">
      <w:pPr>
        <w:jc w:val="both"/>
        <w:rPr>
          <w:rFonts w:ascii="Garamond" w:hAnsi="Garamond"/>
          <w:sz w:val="28"/>
          <w:szCs w:val="28"/>
        </w:rPr>
      </w:pPr>
      <w:r>
        <w:rPr>
          <w:rFonts w:ascii="Garamond" w:hAnsi="Garamond"/>
          <w:sz w:val="28"/>
          <w:szCs w:val="28"/>
        </w:rPr>
        <w:t>Per quanto non espressamente previsto si rinvia alle disposizioni del CCNL 2016/2018.</w:t>
      </w:r>
    </w:p>
    <w:p w:rsidR="007D1244" w:rsidRDefault="007D1244" w:rsidP="001F1CA0">
      <w:pPr>
        <w:jc w:val="both"/>
        <w:rPr>
          <w:rFonts w:ascii="Garamond" w:hAnsi="Garamond"/>
          <w:sz w:val="28"/>
          <w:szCs w:val="28"/>
        </w:rPr>
      </w:pPr>
    </w:p>
    <w:p w:rsidR="007D1244" w:rsidRDefault="007D1244" w:rsidP="001F1CA0">
      <w:pPr>
        <w:jc w:val="both"/>
        <w:rPr>
          <w:rFonts w:ascii="Garamond" w:hAnsi="Garamond"/>
          <w:sz w:val="28"/>
          <w:szCs w:val="28"/>
        </w:rPr>
      </w:pPr>
      <w:r>
        <w:rPr>
          <w:rFonts w:ascii="Garamond" w:hAnsi="Garamond"/>
          <w:sz w:val="28"/>
          <w:szCs w:val="28"/>
        </w:rPr>
        <w:t>Data 19/12/2022</w:t>
      </w:r>
    </w:p>
    <w:p w:rsidR="007D1244" w:rsidRDefault="007D1244" w:rsidP="001F1CA0">
      <w:pPr>
        <w:jc w:val="both"/>
        <w:rPr>
          <w:rFonts w:ascii="Garamond" w:hAnsi="Garamond"/>
          <w:sz w:val="28"/>
          <w:szCs w:val="28"/>
        </w:rPr>
      </w:pPr>
    </w:p>
    <w:p w:rsidR="007D1244" w:rsidRDefault="007D1244" w:rsidP="001F1CA0">
      <w:pPr>
        <w:jc w:val="both"/>
        <w:rPr>
          <w:rFonts w:ascii="Garamond" w:hAnsi="Garamond"/>
          <w:sz w:val="28"/>
          <w:szCs w:val="28"/>
        </w:rPr>
      </w:pPr>
    </w:p>
    <w:p w:rsidR="007D1244" w:rsidRDefault="007D1244" w:rsidP="001F1CA0">
      <w:pPr>
        <w:jc w:val="both"/>
        <w:rPr>
          <w:rFonts w:ascii="Garamond" w:hAnsi="Garamond"/>
          <w:sz w:val="28"/>
          <w:szCs w:val="28"/>
        </w:rPr>
      </w:pPr>
    </w:p>
    <w:p w:rsidR="007D1244" w:rsidRDefault="007D1244" w:rsidP="001F1CA0">
      <w:pPr>
        <w:jc w:val="both"/>
        <w:rPr>
          <w:rFonts w:ascii="Garamond" w:hAnsi="Garamond"/>
          <w:sz w:val="28"/>
          <w:szCs w:val="28"/>
        </w:rPr>
      </w:pPr>
    </w:p>
    <w:p w:rsidR="007D1244" w:rsidRPr="001F1CA0" w:rsidRDefault="007D1244" w:rsidP="001F1CA0">
      <w:pPr>
        <w:jc w:val="both"/>
        <w:rPr>
          <w:rFonts w:ascii="Garamond" w:hAnsi="Garamond"/>
          <w:sz w:val="28"/>
          <w:szCs w:val="28"/>
        </w:rPr>
      </w:pPr>
      <w:r>
        <w:rPr>
          <w:rFonts w:ascii="Garamond" w:hAnsi="Garamond"/>
          <w:sz w:val="28"/>
          <w:szCs w:val="28"/>
        </w:rPr>
        <w:t xml:space="preserve">Per l’Azienda </w:t>
      </w:r>
      <w:r>
        <w:rPr>
          <w:rFonts w:ascii="Garamond" w:hAnsi="Garamond"/>
          <w:sz w:val="28"/>
          <w:szCs w:val="28"/>
        </w:rPr>
        <w:tab/>
      </w:r>
      <w:r>
        <w:rPr>
          <w:rFonts w:ascii="Garamond" w:hAnsi="Garamond"/>
          <w:sz w:val="28"/>
          <w:szCs w:val="28"/>
        </w:rPr>
        <w:tab/>
      </w:r>
      <w:r>
        <w:rPr>
          <w:rFonts w:ascii="Garamond" w:hAnsi="Garamond"/>
          <w:sz w:val="28"/>
          <w:szCs w:val="28"/>
        </w:rPr>
        <w:tab/>
      </w:r>
      <w:r>
        <w:rPr>
          <w:rFonts w:ascii="Garamond" w:hAnsi="Garamond"/>
          <w:sz w:val="28"/>
          <w:szCs w:val="28"/>
        </w:rPr>
        <w:tab/>
        <w:t>Per le OO.SS Dirigenza Funzioni Locali</w:t>
      </w:r>
    </w:p>
    <w:sectPr w:rsidR="007D1244" w:rsidRPr="001F1CA0" w:rsidSect="00777529">
      <w:headerReference w:type="default" r:id="rId7"/>
      <w:footerReference w:type="default" r:id="rId8"/>
      <w:pgSz w:w="11906" w:h="16838"/>
      <w:pgMar w:top="1417" w:right="2006"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1244" w:rsidRDefault="007D1244" w:rsidP="003D0B44">
      <w:pPr>
        <w:spacing w:after="0" w:line="240" w:lineRule="auto"/>
      </w:pPr>
      <w:r>
        <w:separator/>
      </w:r>
    </w:p>
  </w:endnote>
  <w:endnote w:type="continuationSeparator" w:id="0">
    <w:p w:rsidR="007D1244" w:rsidRDefault="007D1244" w:rsidP="003D0B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244" w:rsidRDefault="007D1244">
    <w:pPr>
      <w:pStyle w:val="Footer"/>
      <w:jc w:val="center"/>
    </w:pPr>
    <w:fldSimple w:instr="PAGE   \* MERGEFORMAT">
      <w:r>
        <w:rPr>
          <w:noProof/>
        </w:rPr>
        <w:t>1</w:t>
      </w:r>
    </w:fldSimple>
  </w:p>
  <w:p w:rsidR="007D1244" w:rsidRDefault="007D12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1244" w:rsidRDefault="007D1244" w:rsidP="003D0B44">
      <w:pPr>
        <w:spacing w:after="0" w:line="240" w:lineRule="auto"/>
      </w:pPr>
      <w:r>
        <w:separator/>
      </w:r>
    </w:p>
  </w:footnote>
  <w:footnote w:type="continuationSeparator" w:id="0">
    <w:p w:rsidR="007D1244" w:rsidRDefault="007D1244" w:rsidP="003D0B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244" w:rsidRDefault="007D1244">
    <w:pPr>
      <w:pStyle w:val="Header"/>
    </w:pPr>
    <w:r>
      <w:t xml:space="preserve"> CCIA 2022 Azienda Usl Toscana Nord Ovest e OO.SS Dirigenza funzioni locali - TPA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943BC"/>
    <w:multiLevelType w:val="hybridMultilevel"/>
    <w:tmpl w:val="70DC0250"/>
    <w:lvl w:ilvl="0" w:tplc="0410000F">
      <w:start w:val="1"/>
      <w:numFmt w:val="decimal"/>
      <w:lvlText w:val="%1."/>
      <w:lvlJc w:val="left"/>
      <w:pPr>
        <w:tabs>
          <w:tab w:val="num" w:pos="1080"/>
        </w:tabs>
        <w:ind w:left="1080" w:hanging="360"/>
      </w:pPr>
      <w:rPr>
        <w:rFonts w:cs="Times New Roman"/>
      </w:rPr>
    </w:lvl>
    <w:lvl w:ilvl="1" w:tplc="04100019" w:tentative="1">
      <w:start w:val="1"/>
      <w:numFmt w:val="lowerLetter"/>
      <w:lvlText w:val="%2."/>
      <w:lvlJc w:val="left"/>
      <w:pPr>
        <w:tabs>
          <w:tab w:val="num" w:pos="1800"/>
        </w:tabs>
        <w:ind w:left="1800" w:hanging="360"/>
      </w:pPr>
      <w:rPr>
        <w:rFonts w:cs="Times New Roman"/>
      </w:rPr>
    </w:lvl>
    <w:lvl w:ilvl="2" w:tplc="0410001B" w:tentative="1">
      <w:start w:val="1"/>
      <w:numFmt w:val="lowerRoman"/>
      <w:lvlText w:val="%3."/>
      <w:lvlJc w:val="right"/>
      <w:pPr>
        <w:tabs>
          <w:tab w:val="num" w:pos="2520"/>
        </w:tabs>
        <w:ind w:left="2520" w:hanging="180"/>
      </w:pPr>
      <w:rPr>
        <w:rFonts w:cs="Times New Roman"/>
      </w:rPr>
    </w:lvl>
    <w:lvl w:ilvl="3" w:tplc="0410000F" w:tentative="1">
      <w:start w:val="1"/>
      <w:numFmt w:val="decimal"/>
      <w:lvlText w:val="%4."/>
      <w:lvlJc w:val="left"/>
      <w:pPr>
        <w:tabs>
          <w:tab w:val="num" w:pos="3240"/>
        </w:tabs>
        <w:ind w:left="3240" w:hanging="360"/>
      </w:pPr>
      <w:rPr>
        <w:rFonts w:cs="Times New Roman"/>
      </w:rPr>
    </w:lvl>
    <w:lvl w:ilvl="4" w:tplc="04100019" w:tentative="1">
      <w:start w:val="1"/>
      <w:numFmt w:val="lowerLetter"/>
      <w:lvlText w:val="%5."/>
      <w:lvlJc w:val="left"/>
      <w:pPr>
        <w:tabs>
          <w:tab w:val="num" w:pos="3960"/>
        </w:tabs>
        <w:ind w:left="3960" w:hanging="360"/>
      </w:pPr>
      <w:rPr>
        <w:rFonts w:cs="Times New Roman"/>
      </w:rPr>
    </w:lvl>
    <w:lvl w:ilvl="5" w:tplc="0410001B" w:tentative="1">
      <w:start w:val="1"/>
      <w:numFmt w:val="lowerRoman"/>
      <w:lvlText w:val="%6."/>
      <w:lvlJc w:val="right"/>
      <w:pPr>
        <w:tabs>
          <w:tab w:val="num" w:pos="4680"/>
        </w:tabs>
        <w:ind w:left="4680" w:hanging="180"/>
      </w:pPr>
      <w:rPr>
        <w:rFonts w:cs="Times New Roman"/>
      </w:rPr>
    </w:lvl>
    <w:lvl w:ilvl="6" w:tplc="0410000F" w:tentative="1">
      <w:start w:val="1"/>
      <w:numFmt w:val="decimal"/>
      <w:lvlText w:val="%7."/>
      <w:lvlJc w:val="left"/>
      <w:pPr>
        <w:tabs>
          <w:tab w:val="num" w:pos="5400"/>
        </w:tabs>
        <w:ind w:left="5400" w:hanging="360"/>
      </w:pPr>
      <w:rPr>
        <w:rFonts w:cs="Times New Roman"/>
      </w:rPr>
    </w:lvl>
    <w:lvl w:ilvl="7" w:tplc="04100019" w:tentative="1">
      <w:start w:val="1"/>
      <w:numFmt w:val="lowerLetter"/>
      <w:lvlText w:val="%8."/>
      <w:lvlJc w:val="left"/>
      <w:pPr>
        <w:tabs>
          <w:tab w:val="num" w:pos="6120"/>
        </w:tabs>
        <w:ind w:left="6120" w:hanging="360"/>
      </w:pPr>
      <w:rPr>
        <w:rFonts w:cs="Times New Roman"/>
      </w:rPr>
    </w:lvl>
    <w:lvl w:ilvl="8" w:tplc="0410001B" w:tentative="1">
      <w:start w:val="1"/>
      <w:numFmt w:val="lowerRoman"/>
      <w:lvlText w:val="%9."/>
      <w:lvlJc w:val="right"/>
      <w:pPr>
        <w:tabs>
          <w:tab w:val="num" w:pos="6840"/>
        </w:tabs>
        <w:ind w:left="6840" w:hanging="180"/>
      </w:pPr>
      <w:rPr>
        <w:rFonts w:cs="Times New Roman"/>
      </w:rPr>
    </w:lvl>
  </w:abstractNum>
  <w:abstractNum w:abstractNumId="1">
    <w:nsid w:val="3C612843"/>
    <w:multiLevelType w:val="hybridMultilevel"/>
    <w:tmpl w:val="9B64BAC6"/>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nsid w:val="4A6F36D3"/>
    <w:multiLevelType w:val="hybridMultilevel"/>
    <w:tmpl w:val="46408CB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nsid w:val="5A4B4310"/>
    <w:multiLevelType w:val="hybridMultilevel"/>
    <w:tmpl w:val="1BDC416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2"/>
  </w:num>
  <w:num w:numId="4">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3F91"/>
    <w:rsid w:val="00000D00"/>
    <w:rsid w:val="00022C44"/>
    <w:rsid w:val="0003294A"/>
    <w:rsid w:val="00053AB7"/>
    <w:rsid w:val="00082164"/>
    <w:rsid w:val="000C6EF5"/>
    <w:rsid w:val="000E5C5D"/>
    <w:rsid w:val="000F3EAF"/>
    <w:rsid w:val="000F7B25"/>
    <w:rsid w:val="00120E18"/>
    <w:rsid w:val="0012643B"/>
    <w:rsid w:val="00146C39"/>
    <w:rsid w:val="001A60C7"/>
    <w:rsid w:val="001C6837"/>
    <w:rsid w:val="001D364A"/>
    <w:rsid w:val="001D3D4D"/>
    <w:rsid w:val="001D686D"/>
    <w:rsid w:val="001E4670"/>
    <w:rsid w:val="001E54D2"/>
    <w:rsid w:val="001F1CA0"/>
    <w:rsid w:val="001F714C"/>
    <w:rsid w:val="001F782D"/>
    <w:rsid w:val="00201E48"/>
    <w:rsid w:val="0022167B"/>
    <w:rsid w:val="00240B37"/>
    <w:rsid w:val="002510A6"/>
    <w:rsid w:val="002752B0"/>
    <w:rsid w:val="00294E82"/>
    <w:rsid w:val="002A17EB"/>
    <w:rsid w:val="002F0640"/>
    <w:rsid w:val="002F5B3A"/>
    <w:rsid w:val="00305E48"/>
    <w:rsid w:val="00307A40"/>
    <w:rsid w:val="00323E76"/>
    <w:rsid w:val="00340536"/>
    <w:rsid w:val="003407CA"/>
    <w:rsid w:val="00350999"/>
    <w:rsid w:val="003700CC"/>
    <w:rsid w:val="0037214F"/>
    <w:rsid w:val="003739B4"/>
    <w:rsid w:val="003A224A"/>
    <w:rsid w:val="003B220E"/>
    <w:rsid w:val="003D0B44"/>
    <w:rsid w:val="003E3FFE"/>
    <w:rsid w:val="00436A94"/>
    <w:rsid w:val="00443E82"/>
    <w:rsid w:val="00444FFE"/>
    <w:rsid w:val="0048627A"/>
    <w:rsid w:val="004B5989"/>
    <w:rsid w:val="004C085B"/>
    <w:rsid w:val="00544A8A"/>
    <w:rsid w:val="00545576"/>
    <w:rsid w:val="00570509"/>
    <w:rsid w:val="00575432"/>
    <w:rsid w:val="00582F83"/>
    <w:rsid w:val="005906A7"/>
    <w:rsid w:val="005C02D6"/>
    <w:rsid w:val="005D1E80"/>
    <w:rsid w:val="005D4811"/>
    <w:rsid w:val="005F10FC"/>
    <w:rsid w:val="0063037F"/>
    <w:rsid w:val="00633F47"/>
    <w:rsid w:val="00654391"/>
    <w:rsid w:val="006873AD"/>
    <w:rsid w:val="006940AC"/>
    <w:rsid w:val="006A56FC"/>
    <w:rsid w:val="006A77B0"/>
    <w:rsid w:val="006C2181"/>
    <w:rsid w:val="006D240C"/>
    <w:rsid w:val="006E1094"/>
    <w:rsid w:val="0071617C"/>
    <w:rsid w:val="007223AA"/>
    <w:rsid w:val="007457B9"/>
    <w:rsid w:val="00750FC9"/>
    <w:rsid w:val="00766D87"/>
    <w:rsid w:val="00777529"/>
    <w:rsid w:val="007838F8"/>
    <w:rsid w:val="007851F1"/>
    <w:rsid w:val="007A554D"/>
    <w:rsid w:val="007B62B4"/>
    <w:rsid w:val="007C3F91"/>
    <w:rsid w:val="007D1244"/>
    <w:rsid w:val="008228A8"/>
    <w:rsid w:val="008517C2"/>
    <w:rsid w:val="008601AA"/>
    <w:rsid w:val="008648BB"/>
    <w:rsid w:val="008816B9"/>
    <w:rsid w:val="00887D28"/>
    <w:rsid w:val="00895B16"/>
    <w:rsid w:val="008B1188"/>
    <w:rsid w:val="008B11A4"/>
    <w:rsid w:val="008B1E69"/>
    <w:rsid w:val="008C5B0E"/>
    <w:rsid w:val="008D5D72"/>
    <w:rsid w:val="008E1B70"/>
    <w:rsid w:val="0093321B"/>
    <w:rsid w:val="00945A23"/>
    <w:rsid w:val="009473DC"/>
    <w:rsid w:val="00953D89"/>
    <w:rsid w:val="00963E04"/>
    <w:rsid w:val="00972F71"/>
    <w:rsid w:val="00997841"/>
    <w:rsid w:val="009A2245"/>
    <w:rsid w:val="009A5A85"/>
    <w:rsid w:val="009F0803"/>
    <w:rsid w:val="00A13801"/>
    <w:rsid w:val="00A44001"/>
    <w:rsid w:val="00A61BD5"/>
    <w:rsid w:val="00A70841"/>
    <w:rsid w:val="00A77A66"/>
    <w:rsid w:val="00A927C2"/>
    <w:rsid w:val="00AA50B5"/>
    <w:rsid w:val="00AA6E07"/>
    <w:rsid w:val="00AB5571"/>
    <w:rsid w:val="00AC0286"/>
    <w:rsid w:val="00AC271C"/>
    <w:rsid w:val="00AC43F5"/>
    <w:rsid w:val="00AF1E4A"/>
    <w:rsid w:val="00AF6DBF"/>
    <w:rsid w:val="00B21EA8"/>
    <w:rsid w:val="00B22D6D"/>
    <w:rsid w:val="00B63402"/>
    <w:rsid w:val="00B81253"/>
    <w:rsid w:val="00B94D94"/>
    <w:rsid w:val="00B956FD"/>
    <w:rsid w:val="00BA626E"/>
    <w:rsid w:val="00BC1A2A"/>
    <w:rsid w:val="00BC4F92"/>
    <w:rsid w:val="00BE48A3"/>
    <w:rsid w:val="00BF62FB"/>
    <w:rsid w:val="00C00644"/>
    <w:rsid w:val="00C07605"/>
    <w:rsid w:val="00C145CC"/>
    <w:rsid w:val="00C33C6A"/>
    <w:rsid w:val="00C41150"/>
    <w:rsid w:val="00C64C84"/>
    <w:rsid w:val="00C82DC9"/>
    <w:rsid w:val="00C97D83"/>
    <w:rsid w:val="00CB0C3C"/>
    <w:rsid w:val="00CB5B66"/>
    <w:rsid w:val="00CE7AFF"/>
    <w:rsid w:val="00CF4140"/>
    <w:rsid w:val="00D1080C"/>
    <w:rsid w:val="00D17D15"/>
    <w:rsid w:val="00D371E2"/>
    <w:rsid w:val="00D92A88"/>
    <w:rsid w:val="00DA7BA8"/>
    <w:rsid w:val="00DE1BA1"/>
    <w:rsid w:val="00DE3B8B"/>
    <w:rsid w:val="00DF6423"/>
    <w:rsid w:val="00E01836"/>
    <w:rsid w:val="00E07077"/>
    <w:rsid w:val="00E23B7A"/>
    <w:rsid w:val="00E36594"/>
    <w:rsid w:val="00E46801"/>
    <w:rsid w:val="00E74050"/>
    <w:rsid w:val="00E95169"/>
    <w:rsid w:val="00EB36B3"/>
    <w:rsid w:val="00EE4DB1"/>
    <w:rsid w:val="00F437A3"/>
    <w:rsid w:val="00F46C90"/>
    <w:rsid w:val="00F63E64"/>
    <w:rsid w:val="00F82724"/>
    <w:rsid w:val="00F83CD0"/>
    <w:rsid w:val="00F91E9D"/>
    <w:rsid w:val="00FA1D3A"/>
    <w:rsid w:val="00FB202F"/>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2F83"/>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223AA"/>
    <w:pPr>
      <w:ind w:left="720"/>
      <w:contextualSpacing/>
    </w:pPr>
  </w:style>
  <w:style w:type="table" w:styleId="TableGrid">
    <w:name w:val="Table Grid"/>
    <w:basedOn w:val="TableNormal"/>
    <w:uiPriority w:val="99"/>
    <w:rsid w:val="00EB36B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3D0B44"/>
    <w:pPr>
      <w:tabs>
        <w:tab w:val="center" w:pos="4819"/>
        <w:tab w:val="right" w:pos="9638"/>
      </w:tabs>
      <w:spacing w:after="0" w:line="240" w:lineRule="auto"/>
    </w:pPr>
    <w:rPr>
      <w:sz w:val="20"/>
      <w:szCs w:val="20"/>
      <w:lang w:eastAsia="it-IT"/>
    </w:rPr>
  </w:style>
  <w:style w:type="character" w:customStyle="1" w:styleId="HeaderChar">
    <w:name w:val="Header Char"/>
    <w:basedOn w:val="DefaultParagraphFont"/>
    <w:link w:val="Header"/>
    <w:uiPriority w:val="99"/>
    <w:locked/>
    <w:rsid w:val="003D0B44"/>
    <w:rPr>
      <w:rFonts w:cs="Times New Roman"/>
    </w:rPr>
  </w:style>
  <w:style w:type="paragraph" w:styleId="Footer">
    <w:name w:val="footer"/>
    <w:basedOn w:val="Normal"/>
    <w:link w:val="FooterChar"/>
    <w:uiPriority w:val="99"/>
    <w:rsid w:val="003D0B44"/>
    <w:pPr>
      <w:tabs>
        <w:tab w:val="center" w:pos="4819"/>
        <w:tab w:val="right" w:pos="9638"/>
      </w:tabs>
      <w:spacing w:after="0" w:line="240" w:lineRule="auto"/>
    </w:pPr>
    <w:rPr>
      <w:sz w:val="20"/>
      <w:szCs w:val="20"/>
      <w:lang w:eastAsia="it-IT"/>
    </w:rPr>
  </w:style>
  <w:style w:type="character" w:customStyle="1" w:styleId="FooterChar">
    <w:name w:val="Footer Char"/>
    <w:basedOn w:val="DefaultParagraphFont"/>
    <w:link w:val="Footer"/>
    <w:uiPriority w:val="99"/>
    <w:locked/>
    <w:rsid w:val="003D0B44"/>
    <w:rPr>
      <w:rFonts w:cs="Times New Roman"/>
    </w:rPr>
  </w:style>
  <w:style w:type="paragraph" w:styleId="NormalWeb">
    <w:name w:val="Normal (Web)"/>
    <w:basedOn w:val="Normal"/>
    <w:uiPriority w:val="99"/>
    <w:rsid w:val="004C085B"/>
    <w:pPr>
      <w:spacing w:before="100" w:beforeAutospacing="1" w:after="100" w:afterAutospacing="1" w:line="240" w:lineRule="auto"/>
      <w:jc w:val="both"/>
    </w:pPr>
    <w:rPr>
      <w:rFonts w:ascii="Times New Roman" w:hAnsi="Times New Roman"/>
      <w:color w:val="000000"/>
      <w:sz w:val="24"/>
      <w:szCs w:val="24"/>
      <w:lang w:eastAsia="it-IT"/>
    </w:rPr>
  </w:style>
  <w:style w:type="paragraph" w:customStyle="1" w:styleId="western">
    <w:name w:val="western"/>
    <w:basedOn w:val="Normal"/>
    <w:uiPriority w:val="99"/>
    <w:rsid w:val="004C085B"/>
    <w:pPr>
      <w:spacing w:before="100" w:beforeAutospacing="1" w:after="100" w:afterAutospacing="1" w:line="240" w:lineRule="auto"/>
      <w:jc w:val="both"/>
    </w:pPr>
    <w:rPr>
      <w:rFonts w:ascii="Tahoma" w:hAnsi="Tahoma" w:cs="Tahoma"/>
      <w:color w:val="000000"/>
      <w:sz w:val="24"/>
      <w:szCs w:val="24"/>
      <w:lang w:eastAsia="it-IT"/>
    </w:rPr>
  </w:style>
</w:styles>
</file>

<file path=word/webSettings.xml><?xml version="1.0" encoding="utf-8"?>
<w:webSettings xmlns:r="http://schemas.openxmlformats.org/officeDocument/2006/relationships" xmlns:w="http://schemas.openxmlformats.org/wordprocessingml/2006/main">
  <w:divs>
    <w:div w:id="2051761385">
      <w:marLeft w:val="0"/>
      <w:marRight w:val="0"/>
      <w:marTop w:val="0"/>
      <w:marBottom w:val="0"/>
      <w:divBdr>
        <w:top w:val="none" w:sz="0" w:space="0" w:color="auto"/>
        <w:left w:val="none" w:sz="0" w:space="0" w:color="auto"/>
        <w:bottom w:val="none" w:sz="0" w:space="0" w:color="auto"/>
        <w:right w:val="none" w:sz="0" w:space="0" w:color="auto"/>
      </w:divBdr>
    </w:div>
    <w:div w:id="2051761386">
      <w:marLeft w:val="0"/>
      <w:marRight w:val="0"/>
      <w:marTop w:val="0"/>
      <w:marBottom w:val="0"/>
      <w:divBdr>
        <w:top w:val="none" w:sz="0" w:space="0" w:color="auto"/>
        <w:left w:val="none" w:sz="0" w:space="0" w:color="auto"/>
        <w:bottom w:val="none" w:sz="0" w:space="0" w:color="auto"/>
        <w:right w:val="none" w:sz="0" w:space="0" w:color="auto"/>
      </w:divBdr>
    </w:div>
    <w:div w:id="2051761387">
      <w:marLeft w:val="0"/>
      <w:marRight w:val="0"/>
      <w:marTop w:val="0"/>
      <w:marBottom w:val="0"/>
      <w:divBdr>
        <w:top w:val="none" w:sz="0" w:space="0" w:color="auto"/>
        <w:left w:val="none" w:sz="0" w:space="0" w:color="auto"/>
        <w:bottom w:val="none" w:sz="0" w:space="0" w:color="auto"/>
        <w:right w:val="none" w:sz="0" w:space="0" w:color="auto"/>
      </w:divBdr>
    </w:div>
    <w:div w:id="2051761388">
      <w:marLeft w:val="0"/>
      <w:marRight w:val="0"/>
      <w:marTop w:val="0"/>
      <w:marBottom w:val="0"/>
      <w:divBdr>
        <w:top w:val="none" w:sz="0" w:space="0" w:color="auto"/>
        <w:left w:val="none" w:sz="0" w:space="0" w:color="auto"/>
        <w:bottom w:val="none" w:sz="0" w:space="0" w:color="auto"/>
        <w:right w:val="none" w:sz="0" w:space="0" w:color="auto"/>
      </w:divBdr>
    </w:div>
    <w:div w:id="2051761389">
      <w:marLeft w:val="0"/>
      <w:marRight w:val="0"/>
      <w:marTop w:val="0"/>
      <w:marBottom w:val="0"/>
      <w:divBdr>
        <w:top w:val="none" w:sz="0" w:space="0" w:color="auto"/>
        <w:left w:val="none" w:sz="0" w:space="0" w:color="auto"/>
        <w:bottom w:val="none" w:sz="0" w:space="0" w:color="auto"/>
        <w:right w:val="none" w:sz="0" w:space="0" w:color="auto"/>
      </w:divBdr>
    </w:div>
    <w:div w:id="2051761390">
      <w:marLeft w:val="0"/>
      <w:marRight w:val="0"/>
      <w:marTop w:val="0"/>
      <w:marBottom w:val="0"/>
      <w:divBdr>
        <w:top w:val="none" w:sz="0" w:space="0" w:color="auto"/>
        <w:left w:val="none" w:sz="0" w:space="0" w:color="auto"/>
        <w:bottom w:val="none" w:sz="0" w:space="0" w:color="auto"/>
        <w:right w:val="none" w:sz="0" w:space="0" w:color="auto"/>
      </w:divBdr>
    </w:div>
    <w:div w:id="2051761391">
      <w:marLeft w:val="0"/>
      <w:marRight w:val="0"/>
      <w:marTop w:val="0"/>
      <w:marBottom w:val="0"/>
      <w:divBdr>
        <w:top w:val="none" w:sz="0" w:space="0" w:color="auto"/>
        <w:left w:val="none" w:sz="0" w:space="0" w:color="auto"/>
        <w:bottom w:val="none" w:sz="0" w:space="0" w:color="auto"/>
        <w:right w:val="none" w:sz="0" w:space="0" w:color="auto"/>
      </w:divBdr>
    </w:div>
    <w:div w:id="2051761392">
      <w:marLeft w:val="0"/>
      <w:marRight w:val="0"/>
      <w:marTop w:val="0"/>
      <w:marBottom w:val="0"/>
      <w:divBdr>
        <w:top w:val="none" w:sz="0" w:space="0" w:color="auto"/>
        <w:left w:val="none" w:sz="0" w:space="0" w:color="auto"/>
        <w:bottom w:val="none" w:sz="0" w:space="0" w:color="auto"/>
        <w:right w:val="none" w:sz="0" w:space="0" w:color="auto"/>
      </w:divBdr>
    </w:div>
    <w:div w:id="2051761393">
      <w:marLeft w:val="0"/>
      <w:marRight w:val="0"/>
      <w:marTop w:val="0"/>
      <w:marBottom w:val="0"/>
      <w:divBdr>
        <w:top w:val="none" w:sz="0" w:space="0" w:color="auto"/>
        <w:left w:val="none" w:sz="0" w:space="0" w:color="auto"/>
        <w:bottom w:val="none" w:sz="0" w:space="0" w:color="auto"/>
        <w:right w:val="none" w:sz="0" w:space="0" w:color="auto"/>
      </w:divBdr>
    </w:div>
    <w:div w:id="2051761394">
      <w:marLeft w:val="0"/>
      <w:marRight w:val="0"/>
      <w:marTop w:val="0"/>
      <w:marBottom w:val="0"/>
      <w:divBdr>
        <w:top w:val="none" w:sz="0" w:space="0" w:color="auto"/>
        <w:left w:val="none" w:sz="0" w:space="0" w:color="auto"/>
        <w:bottom w:val="none" w:sz="0" w:space="0" w:color="auto"/>
        <w:right w:val="none" w:sz="0" w:space="0" w:color="auto"/>
      </w:divBdr>
    </w:div>
    <w:div w:id="2051761395">
      <w:marLeft w:val="0"/>
      <w:marRight w:val="0"/>
      <w:marTop w:val="0"/>
      <w:marBottom w:val="0"/>
      <w:divBdr>
        <w:top w:val="none" w:sz="0" w:space="0" w:color="auto"/>
        <w:left w:val="none" w:sz="0" w:space="0" w:color="auto"/>
        <w:bottom w:val="none" w:sz="0" w:space="0" w:color="auto"/>
        <w:right w:val="none" w:sz="0" w:space="0" w:color="auto"/>
      </w:divBdr>
    </w:div>
    <w:div w:id="20517613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11</Pages>
  <Words>3291</Words>
  <Characters>18762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AZIENDA USL TOSCANA NORD OVEST</dc:title>
  <dc:subject/>
  <dc:creator>Elisa Pucciarelli</dc:creator>
  <cp:keywords/>
  <dc:description/>
  <cp:lastModifiedBy>f.mignoni</cp:lastModifiedBy>
  <cp:revision>5</cp:revision>
  <dcterms:created xsi:type="dcterms:W3CDTF">2023-01-11T11:31:00Z</dcterms:created>
  <dcterms:modified xsi:type="dcterms:W3CDTF">2023-01-11T11:36:00Z</dcterms:modified>
</cp:coreProperties>
</file>